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6C9" w:rsidRDefault="008866C9" w:rsidP="008866C9">
      <w:pPr>
        <w:spacing w:after="0" w:line="240" w:lineRule="auto"/>
        <w:rPr>
          <w:rFonts w:ascii="Arial" w:eastAsia="Times New Roman" w:hAnsi="Arial" w:cs="Arial"/>
          <w:b/>
          <w:bCs/>
          <w:color w:val="000000"/>
          <w:lang w:eastAsia="en-SB"/>
        </w:rPr>
      </w:pPr>
      <w:r w:rsidRPr="008866C9">
        <w:rPr>
          <w:rFonts w:ascii="Arial" w:eastAsia="Times New Roman" w:hAnsi="Arial" w:cs="Arial"/>
          <w:b/>
          <w:bCs/>
          <w:color w:val="000000"/>
          <w:lang w:eastAsia="en-SB"/>
        </w:rPr>
        <w:t>Economic Assistance Agreement</w:t>
      </w:r>
    </w:p>
    <w:p w:rsidR="008866C9" w:rsidRDefault="008866C9" w:rsidP="008866C9">
      <w:pPr>
        <w:spacing w:after="0" w:line="240" w:lineRule="auto"/>
        <w:rPr>
          <w:rFonts w:ascii="Times New Roman" w:eastAsia="Times New Roman" w:hAnsi="Times New Roman" w:cs="Times New Roman"/>
          <w:sz w:val="24"/>
          <w:szCs w:val="24"/>
          <w:lang w:eastAsia="en-SB"/>
        </w:rPr>
      </w:pPr>
    </w:p>
    <w:p w:rsidR="008866C9" w:rsidRPr="00EB0E4A" w:rsidRDefault="008866C9" w:rsidP="008866C9">
      <w:pPr>
        <w:pStyle w:val="ListParagraph"/>
        <w:numPr>
          <w:ilvl w:val="0"/>
          <w:numId w:val="1"/>
        </w:numPr>
        <w:spacing w:after="0" w:line="240" w:lineRule="auto"/>
        <w:rPr>
          <w:rFonts w:ascii="Times New Roman" w:eastAsia="Times New Roman" w:hAnsi="Times New Roman" w:cs="Times New Roman"/>
          <w:b/>
          <w:i/>
          <w:sz w:val="24"/>
          <w:szCs w:val="24"/>
          <w:lang w:val="en-US" w:eastAsia="en-SB"/>
        </w:rPr>
      </w:pPr>
      <w:r w:rsidRPr="00EB0E4A">
        <w:rPr>
          <w:rFonts w:ascii="Times New Roman" w:eastAsia="Times New Roman" w:hAnsi="Times New Roman" w:cs="Times New Roman"/>
          <w:b/>
          <w:i/>
          <w:sz w:val="24"/>
          <w:szCs w:val="24"/>
          <w:lang w:val="en-US" w:eastAsia="en-SB"/>
        </w:rPr>
        <w:t>EAA for 2023</w:t>
      </w:r>
    </w:p>
    <w:p w:rsidR="008866C9" w:rsidRDefault="008866C9" w:rsidP="008866C9">
      <w:pPr>
        <w:spacing w:after="0" w:line="240" w:lineRule="auto"/>
        <w:rPr>
          <w:rFonts w:ascii="Times New Roman" w:eastAsia="Times New Roman" w:hAnsi="Times New Roman" w:cs="Times New Roman"/>
          <w:sz w:val="24"/>
          <w:szCs w:val="24"/>
          <w:lang w:val="en-US" w:eastAsia="en-SB"/>
        </w:rPr>
      </w:pPr>
    </w:p>
    <w:p w:rsidR="009104C9" w:rsidRDefault="008866C9" w:rsidP="007C1BCC">
      <w:pPr>
        <w:spacing w:after="0" w:line="240" w:lineRule="auto"/>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 xml:space="preserve">The Parties </w:t>
      </w:r>
      <w:r w:rsidR="00235DC8">
        <w:rPr>
          <w:rFonts w:ascii="Times New Roman" w:eastAsia="Times New Roman" w:hAnsi="Times New Roman" w:cs="Times New Roman"/>
          <w:sz w:val="24"/>
          <w:szCs w:val="24"/>
          <w:lang w:val="en-US" w:eastAsia="en-SB"/>
        </w:rPr>
        <w:t xml:space="preserve">acknowledged that </w:t>
      </w:r>
      <w:r>
        <w:rPr>
          <w:rFonts w:ascii="Times New Roman" w:eastAsia="Times New Roman" w:hAnsi="Times New Roman" w:cs="Times New Roman"/>
          <w:sz w:val="24"/>
          <w:szCs w:val="24"/>
          <w:lang w:val="en-US" w:eastAsia="en-SB"/>
        </w:rPr>
        <w:t xml:space="preserve">the </w:t>
      </w:r>
      <w:r w:rsidR="00235DC8">
        <w:rPr>
          <w:rFonts w:ascii="Times New Roman" w:eastAsia="Times New Roman" w:hAnsi="Times New Roman" w:cs="Times New Roman"/>
          <w:sz w:val="24"/>
          <w:szCs w:val="24"/>
          <w:lang w:val="en-US" w:eastAsia="en-SB"/>
        </w:rPr>
        <w:t>current 10</w:t>
      </w:r>
      <w:r w:rsidR="007C1BCC">
        <w:rPr>
          <w:rFonts w:ascii="Times New Roman" w:eastAsia="Times New Roman" w:hAnsi="Times New Roman" w:cs="Times New Roman"/>
          <w:sz w:val="24"/>
          <w:szCs w:val="24"/>
          <w:lang w:val="en-US" w:eastAsia="en-SB"/>
        </w:rPr>
        <w:t>-</w:t>
      </w:r>
      <w:r w:rsidR="00235DC8">
        <w:rPr>
          <w:rFonts w:ascii="Times New Roman" w:eastAsia="Times New Roman" w:hAnsi="Times New Roman" w:cs="Times New Roman"/>
          <w:sz w:val="24"/>
          <w:szCs w:val="24"/>
          <w:lang w:val="en-US" w:eastAsia="en-SB"/>
        </w:rPr>
        <w:t xml:space="preserve">year EAA (June 2023 – June 2033) </w:t>
      </w:r>
      <w:r w:rsidR="00451428">
        <w:rPr>
          <w:rFonts w:ascii="Times New Roman" w:eastAsia="Times New Roman" w:hAnsi="Times New Roman" w:cs="Times New Roman"/>
          <w:sz w:val="24"/>
          <w:szCs w:val="24"/>
          <w:lang w:val="en-US" w:eastAsia="en-SB"/>
        </w:rPr>
        <w:t xml:space="preserve">which </w:t>
      </w:r>
      <w:r w:rsidR="00235DC8">
        <w:rPr>
          <w:rFonts w:ascii="Times New Roman" w:eastAsia="Times New Roman" w:hAnsi="Times New Roman" w:cs="Times New Roman"/>
          <w:sz w:val="24"/>
          <w:szCs w:val="24"/>
          <w:lang w:val="en-US" w:eastAsia="en-SB"/>
        </w:rPr>
        <w:t xml:space="preserve">provides an annual payment of US$21 million did not </w:t>
      </w:r>
      <w:r w:rsidR="00971C2B">
        <w:rPr>
          <w:rFonts w:ascii="Times New Roman" w:eastAsia="Times New Roman" w:hAnsi="Times New Roman" w:cs="Times New Roman"/>
          <w:sz w:val="24"/>
          <w:szCs w:val="24"/>
          <w:lang w:val="en-US" w:eastAsia="en-SB"/>
        </w:rPr>
        <w:t xml:space="preserve">need to be amended to </w:t>
      </w:r>
      <w:r w:rsidR="008332A6">
        <w:rPr>
          <w:rFonts w:ascii="Times New Roman" w:eastAsia="Times New Roman" w:hAnsi="Times New Roman" w:cs="Times New Roman"/>
          <w:sz w:val="24"/>
          <w:szCs w:val="24"/>
          <w:lang w:val="en-US" w:eastAsia="en-SB"/>
        </w:rPr>
        <w:t xml:space="preserve">enable </w:t>
      </w:r>
      <w:r w:rsidR="00235DC8">
        <w:rPr>
          <w:rFonts w:ascii="Times New Roman" w:eastAsia="Times New Roman" w:hAnsi="Times New Roman" w:cs="Times New Roman"/>
          <w:sz w:val="24"/>
          <w:szCs w:val="24"/>
          <w:lang w:val="en-US" w:eastAsia="en-SB"/>
        </w:rPr>
        <w:t xml:space="preserve">the </w:t>
      </w:r>
      <w:r w:rsidR="007E5DEF">
        <w:rPr>
          <w:rFonts w:ascii="Times New Roman" w:eastAsia="Times New Roman" w:hAnsi="Times New Roman" w:cs="Times New Roman"/>
          <w:sz w:val="24"/>
          <w:szCs w:val="24"/>
          <w:lang w:val="en-US" w:eastAsia="en-SB"/>
        </w:rPr>
        <w:t xml:space="preserve">one-time payment of </w:t>
      </w:r>
      <w:r>
        <w:rPr>
          <w:rFonts w:ascii="Times New Roman" w:eastAsia="Times New Roman" w:hAnsi="Times New Roman" w:cs="Times New Roman"/>
          <w:sz w:val="24"/>
          <w:szCs w:val="24"/>
          <w:lang w:val="en-US" w:eastAsia="en-SB"/>
        </w:rPr>
        <w:t>US$10 million for 2023</w:t>
      </w:r>
      <w:r w:rsidR="00235DC8">
        <w:rPr>
          <w:rFonts w:ascii="Times New Roman" w:eastAsia="Times New Roman" w:hAnsi="Times New Roman" w:cs="Times New Roman"/>
          <w:sz w:val="24"/>
          <w:szCs w:val="24"/>
          <w:lang w:val="en-US" w:eastAsia="en-SB"/>
        </w:rPr>
        <w:t xml:space="preserve"> by the US, as agreed in 2022 in Palau.  </w:t>
      </w:r>
      <w:r w:rsidR="009104C9">
        <w:rPr>
          <w:rFonts w:ascii="Times New Roman" w:eastAsia="Times New Roman" w:hAnsi="Times New Roman" w:cs="Times New Roman"/>
          <w:sz w:val="24"/>
          <w:szCs w:val="24"/>
          <w:lang w:val="en-US" w:eastAsia="en-SB"/>
        </w:rPr>
        <w:t xml:space="preserve">This is because </w:t>
      </w:r>
      <w:r w:rsidR="007E5DEF">
        <w:rPr>
          <w:rFonts w:ascii="Times New Roman" w:eastAsia="Times New Roman" w:hAnsi="Times New Roman" w:cs="Times New Roman"/>
          <w:sz w:val="24"/>
          <w:szCs w:val="24"/>
          <w:lang w:val="en-US" w:eastAsia="en-SB"/>
        </w:rPr>
        <w:t xml:space="preserve">the additional funds are to be </w:t>
      </w:r>
      <w:r w:rsidR="00971C2B">
        <w:rPr>
          <w:rFonts w:ascii="Times New Roman" w:eastAsia="Times New Roman" w:hAnsi="Times New Roman" w:cs="Times New Roman"/>
          <w:sz w:val="24"/>
          <w:szCs w:val="24"/>
          <w:lang w:val="en-US" w:eastAsia="en-SB"/>
        </w:rPr>
        <w:t xml:space="preserve">provided from existing funding sources </w:t>
      </w:r>
      <w:r w:rsidR="007E5DEF">
        <w:rPr>
          <w:rFonts w:ascii="Times New Roman" w:eastAsia="Times New Roman" w:hAnsi="Times New Roman" w:cs="Times New Roman"/>
          <w:sz w:val="24"/>
          <w:szCs w:val="24"/>
          <w:lang w:val="en-US" w:eastAsia="en-SB"/>
        </w:rPr>
        <w:t>already appropriated</w:t>
      </w:r>
      <w:r w:rsidR="009104C9">
        <w:rPr>
          <w:rFonts w:ascii="Times New Roman" w:eastAsia="Times New Roman" w:hAnsi="Times New Roman" w:cs="Times New Roman"/>
          <w:sz w:val="24"/>
          <w:szCs w:val="24"/>
          <w:lang w:val="en-US" w:eastAsia="en-SB"/>
        </w:rPr>
        <w:t xml:space="preserve">. </w:t>
      </w:r>
      <w:r w:rsidR="0008096D">
        <w:rPr>
          <w:rFonts w:ascii="Times New Roman" w:eastAsia="Times New Roman" w:hAnsi="Times New Roman" w:cs="Times New Roman"/>
          <w:sz w:val="24"/>
          <w:szCs w:val="24"/>
          <w:lang w:val="en-US" w:eastAsia="en-SB"/>
        </w:rPr>
        <w:t xml:space="preserve"> Instead, the Parties agreed to a </w:t>
      </w:r>
      <w:r w:rsidR="00993625">
        <w:rPr>
          <w:rFonts w:ascii="Times New Roman" w:eastAsia="Times New Roman" w:hAnsi="Times New Roman" w:cs="Times New Roman"/>
          <w:sz w:val="24"/>
          <w:szCs w:val="24"/>
          <w:lang w:val="en-US" w:eastAsia="en-SB"/>
        </w:rPr>
        <w:t xml:space="preserve">Grant Agreement mechanism which is similar to the </w:t>
      </w:r>
      <w:r w:rsidR="0008096D">
        <w:rPr>
          <w:rFonts w:ascii="Times New Roman" w:eastAsia="Times New Roman" w:hAnsi="Times New Roman" w:cs="Times New Roman"/>
          <w:sz w:val="24"/>
          <w:szCs w:val="24"/>
          <w:lang w:val="en-US" w:eastAsia="en-SB"/>
        </w:rPr>
        <w:t xml:space="preserve">Memorandum </w:t>
      </w:r>
      <w:r w:rsidR="00993625">
        <w:rPr>
          <w:rFonts w:ascii="Times New Roman" w:eastAsia="Times New Roman" w:hAnsi="Times New Roman" w:cs="Times New Roman"/>
          <w:sz w:val="24"/>
          <w:szCs w:val="24"/>
          <w:lang w:val="en-US" w:eastAsia="en-SB"/>
        </w:rPr>
        <w:t>of Agreement (MOA) approach used for the transfer of the annual contribution of $21m.</w:t>
      </w:r>
      <w:r w:rsidR="0008096D">
        <w:rPr>
          <w:rFonts w:ascii="Times New Roman" w:eastAsia="Times New Roman" w:hAnsi="Times New Roman" w:cs="Times New Roman"/>
          <w:sz w:val="24"/>
          <w:szCs w:val="24"/>
          <w:lang w:val="en-US" w:eastAsia="en-SB"/>
        </w:rPr>
        <w:t xml:space="preserve"> </w:t>
      </w:r>
    </w:p>
    <w:p w:rsidR="009104C9" w:rsidRDefault="009104C9" w:rsidP="007C1BCC">
      <w:pPr>
        <w:spacing w:after="0" w:line="240" w:lineRule="auto"/>
        <w:rPr>
          <w:rFonts w:ascii="Times New Roman" w:eastAsia="Times New Roman" w:hAnsi="Times New Roman" w:cs="Times New Roman"/>
          <w:sz w:val="24"/>
          <w:szCs w:val="24"/>
          <w:lang w:val="en-US" w:eastAsia="en-SB"/>
        </w:rPr>
      </w:pPr>
    </w:p>
    <w:p w:rsidR="0008096D" w:rsidRDefault="009104C9" w:rsidP="007C1BCC">
      <w:pPr>
        <w:spacing w:after="0" w:line="240" w:lineRule="auto"/>
        <w:rPr>
          <w:rFonts w:ascii="Calibri" w:eastAsia="Calibri" w:hAnsi="Calibri" w:cs="Calibri"/>
          <w:sz w:val="24"/>
          <w:szCs w:val="24"/>
          <w:lang w:val="en-US"/>
        </w:rPr>
      </w:pPr>
      <w:r>
        <w:rPr>
          <w:rFonts w:ascii="Times New Roman" w:eastAsia="Times New Roman" w:hAnsi="Times New Roman" w:cs="Times New Roman"/>
          <w:sz w:val="24"/>
          <w:szCs w:val="24"/>
          <w:lang w:val="en-US" w:eastAsia="en-SB"/>
        </w:rPr>
        <w:t xml:space="preserve">However, </w:t>
      </w:r>
      <w:r w:rsidR="00971C2B">
        <w:rPr>
          <w:rFonts w:ascii="Times New Roman" w:eastAsia="Times New Roman" w:hAnsi="Times New Roman" w:cs="Times New Roman"/>
          <w:sz w:val="24"/>
          <w:szCs w:val="24"/>
          <w:lang w:val="en-US" w:eastAsia="en-SB"/>
        </w:rPr>
        <w:t>t</w:t>
      </w:r>
      <w:r w:rsidR="00235DC8">
        <w:rPr>
          <w:rFonts w:ascii="Times New Roman" w:eastAsia="Times New Roman" w:hAnsi="Times New Roman" w:cs="Times New Roman"/>
          <w:sz w:val="24"/>
          <w:szCs w:val="24"/>
          <w:lang w:val="en-US" w:eastAsia="en-SB"/>
        </w:rPr>
        <w:t xml:space="preserve">he conditions for this </w:t>
      </w:r>
      <w:r w:rsidR="007C1BCC">
        <w:rPr>
          <w:rFonts w:ascii="Times New Roman" w:eastAsia="Times New Roman" w:hAnsi="Times New Roman" w:cs="Times New Roman"/>
          <w:sz w:val="24"/>
          <w:szCs w:val="24"/>
          <w:lang w:val="en-US" w:eastAsia="en-SB"/>
        </w:rPr>
        <w:t xml:space="preserve">additional payment </w:t>
      </w:r>
      <w:r w:rsidR="008866C9" w:rsidRPr="008866C9">
        <w:rPr>
          <w:rFonts w:ascii="Calibri" w:eastAsia="Calibri" w:hAnsi="Calibri" w:cs="Calibri"/>
          <w:sz w:val="24"/>
          <w:szCs w:val="24"/>
          <w:lang w:val="en-US"/>
        </w:rPr>
        <w:t xml:space="preserve">specifically </w:t>
      </w:r>
      <w:r>
        <w:rPr>
          <w:rFonts w:ascii="Calibri" w:eastAsia="Calibri" w:hAnsi="Calibri" w:cs="Calibri"/>
          <w:sz w:val="24"/>
          <w:szCs w:val="24"/>
          <w:lang w:val="en-US"/>
        </w:rPr>
        <w:t xml:space="preserve">require </w:t>
      </w:r>
      <w:r w:rsidR="008866C9" w:rsidRPr="008866C9">
        <w:rPr>
          <w:rFonts w:ascii="Calibri" w:eastAsia="Calibri" w:hAnsi="Calibri" w:cs="Calibri"/>
          <w:sz w:val="24"/>
          <w:szCs w:val="24"/>
          <w:lang w:val="en-US"/>
        </w:rPr>
        <w:t xml:space="preserve">the reporting </w:t>
      </w:r>
      <w:r w:rsidR="00993625">
        <w:rPr>
          <w:rFonts w:ascii="Calibri" w:eastAsia="Calibri" w:hAnsi="Calibri" w:cs="Calibri"/>
          <w:sz w:val="24"/>
          <w:szCs w:val="24"/>
          <w:lang w:val="en-US"/>
        </w:rPr>
        <w:t xml:space="preserve">requirements </w:t>
      </w:r>
      <w:r w:rsidR="008866C9" w:rsidRPr="008866C9">
        <w:rPr>
          <w:rFonts w:ascii="Calibri" w:eastAsia="Calibri" w:hAnsi="Calibri" w:cs="Calibri"/>
          <w:sz w:val="24"/>
          <w:szCs w:val="24"/>
          <w:lang w:val="en-US"/>
        </w:rPr>
        <w:t>on the climate funding that comprises $5m of the $10m</w:t>
      </w:r>
      <w:r>
        <w:rPr>
          <w:rFonts w:ascii="Calibri" w:eastAsia="Calibri" w:hAnsi="Calibri" w:cs="Calibri"/>
          <w:sz w:val="24"/>
          <w:szCs w:val="24"/>
          <w:lang w:val="en-US"/>
        </w:rPr>
        <w:t>.  T</w:t>
      </w:r>
      <w:r w:rsidR="00CB058F">
        <w:rPr>
          <w:rFonts w:ascii="Calibri" w:eastAsia="Calibri" w:hAnsi="Calibri" w:cs="Calibri"/>
          <w:sz w:val="24"/>
          <w:szCs w:val="24"/>
          <w:lang w:val="en-US"/>
        </w:rPr>
        <w:t xml:space="preserve">his means the </w:t>
      </w:r>
      <w:r>
        <w:rPr>
          <w:rFonts w:ascii="Calibri" w:eastAsia="Calibri" w:hAnsi="Calibri" w:cs="Calibri"/>
          <w:sz w:val="24"/>
          <w:szCs w:val="24"/>
          <w:lang w:val="en-US"/>
        </w:rPr>
        <w:t>PIPs will be required to provide reports on how their respective shares from the $5m is used for climate change related activities</w:t>
      </w:r>
      <w:r w:rsidR="0008096D">
        <w:rPr>
          <w:rFonts w:ascii="Calibri" w:eastAsia="Calibri" w:hAnsi="Calibri" w:cs="Calibri"/>
          <w:sz w:val="24"/>
          <w:szCs w:val="24"/>
          <w:lang w:val="en-US"/>
        </w:rPr>
        <w:t>.</w:t>
      </w:r>
      <w:r>
        <w:rPr>
          <w:rFonts w:ascii="Calibri" w:eastAsia="Calibri" w:hAnsi="Calibri" w:cs="Calibri"/>
          <w:sz w:val="24"/>
          <w:szCs w:val="24"/>
          <w:lang w:val="en-US"/>
        </w:rPr>
        <w:t xml:space="preserve">  A template for this report has been provided by the US to assist the PIPs.  </w:t>
      </w:r>
    </w:p>
    <w:p w:rsidR="0008096D" w:rsidRDefault="0008096D" w:rsidP="007C1BCC">
      <w:pPr>
        <w:spacing w:after="0" w:line="240" w:lineRule="auto"/>
        <w:rPr>
          <w:rFonts w:ascii="Calibri" w:eastAsia="Calibri" w:hAnsi="Calibri" w:cs="Calibri"/>
          <w:sz w:val="24"/>
          <w:szCs w:val="24"/>
          <w:lang w:val="en-US"/>
        </w:rPr>
      </w:pPr>
    </w:p>
    <w:p w:rsidR="00993625" w:rsidRDefault="0008096D" w:rsidP="007C1BCC">
      <w:pPr>
        <w:spacing w:after="0" w:line="240" w:lineRule="auto"/>
        <w:rPr>
          <w:rFonts w:ascii="Calibri" w:eastAsia="Calibri" w:hAnsi="Calibri" w:cs="Calibri"/>
          <w:sz w:val="24"/>
          <w:szCs w:val="24"/>
          <w:lang w:val="en-US"/>
        </w:rPr>
      </w:pPr>
      <w:r>
        <w:rPr>
          <w:rFonts w:ascii="Calibri" w:eastAsia="Calibri" w:hAnsi="Calibri" w:cs="Calibri"/>
          <w:sz w:val="24"/>
          <w:szCs w:val="24"/>
          <w:lang w:val="en-US"/>
        </w:rPr>
        <w:t>The Parties</w:t>
      </w:r>
      <w:r w:rsidR="00CB058F">
        <w:rPr>
          <w:rFonts w:ascii="Calibri" w:eastAsia="Calibri" w:hAnsi="Calibri" w:cs="Calibri"/>
          <w:sz w:val="24"/>
          <w:szCs w:val="24"/>
          <w:lang w:val="en-US"/>
        </w:rPr>
        <w:t>, therefore,</w:t>
      </w:r>
      <w:r>
        <w:rPr>
          <w:rFonts w:ascii="Calibri" w:eastAsia="Calibri" w:hAnsi="Calibri" w:cs="Calibri"/>
          <w:sz w:val="24"/>
          <w:szCs w:val="24"/>
          <w:lang w:val="en-US"/>
        </w:rPr>
        <w:t xml:space="preserve"> agreed </w:t>
      </w:r>
      <w:r w:rsidR="00993625">
        <w:rPr>
          <w:rFonts w:ascii="Calibri" w:eastAsia="Calibri" w:hAnsi="Calibri" w:cs="Calibri"/>
          <w:sz w:val="24"/>
          <w:szCs w:val="24"/>
          <w:lang w:val="en-US"/>
        </w:rPr>
        <w:t xml:space="preserve">to a Grant Agreement mechanism for the transfer of the additional US$10m and the associated specific reporting requirements for the $5m components on climate change related activities.  </w:t>
      </w:r>
      <w:r w:rsidR="003D1DA8">
        <w:rPr>
          <w:rFonts w:ascii="Calibri" w:eastAsia="Calibri" w:hAnsi="Calibri" w:cs="Calibri"/>
          <w:sz w:val="24"/>
          <w:szCs w:val="24"/>
          <w:lang w:val="en-US"/>
        </w:rPr>
        <w:t xml:space="preserve">This is a stand-alone Agreement for the additional payment for 2023.  The Parties </w:t>
      </w:r>
      <w:r w:rsidR="00CB058F">
        <w:rPr>
          <w:rFonts w:ascii="Calibri" w:eastAsia="Calibri" w:hAnsi="Calibri" w:cs="Calibri"/>
          <w:sz w:val="24"/>
          <w:szCs w:val="24"/>
          <w:lang w:val="en-US"/>
        </w:rPr>
        <w:t xml:space="preserve">also agreed that the </w:t>
      </w:r>
      <w:r w:rsidR="00993625">
        <w:rPr>
          <w:rFonts w:ascii="Calibri" w:eastAsia="Calibri" w:hAnsi="Calibri" w:cs="Calibri"/>
          <w:sz w:val="24"/>
          <w:szCs w:val="24"/>
          <w:lang w:val="en-US"/>
        </w:rPr>
        <w:t>US will facilitate consultations with the FFA Secretariat on the details of the report to enable completion of the reports by the PIPs as required.</w:t>
      </w:r>
    </w:p>
    <w:p w:rsidR="00CB058F" w:rsidRDefault="00CB058F" w:rsidP="007C1BCC">
      <w:pPr>
        <w:spacing w:after="0" w:line="240" w:lineRule="auto"/>
        <w:rPr>
          <w:rFonts w:ascii="Calibri" w:eastAsia="Calibri" w:hAnsi="Calibri" w:cs="Calibri"/>
          <w:sz w:val="24"/>
          <w:szCs w:val="24"/>
          <w:lang w:val="en-US"/>
        </w:rPr>
      </w:pPr>
    </w:p>
    <w:p w:rsidR="00CB058F" w:rsidRDefault="00CB058F" w:rsidP="007C1BCC">
      <w:pPr>
        <w:spacing w:after="0" w:line="240" w:lineRule="auto"/>
        <w:rPr>
          <w:rFonts w:ascii="Calibri" w:eastAsia="Calibri" w:hAnsi="Calibri" w:cs="Calibri"/>
          <w:sz w:val="24"/>
          <w:szCs w:val="24"/>
          <w:lang w:val="en-US"/>
        </w:rPr>
      </w:pPr>
      <w:r>
        <w:rPr>
          <w:rFonts w:ascii="Calibri" w:eastAsia="Calibri" w:hAnsi="Calibri" w:cs="Calibri"/>
          <w:sz w:val="24"/>
          <w:szCs w:val="24"/>
          <w:lang w:val="en-US"/>
        </w:rPr>
        <w:t xml:space="preserve">The draft Grant Agreement (refer </w:t>
      </w:r>
      <w:r w:rsidRPr="003D1DA8">
        <w:rPr>
          <w:rFonts w:ascii="Calibri" w:eastAsia="Calibri" w:hAnsi="Calibri" w:cs="Calibri"/>
          <w:b/>
          <w:sz w:val="24"/>
          <w:szCs w:val="24"/>
          <w:lang w:val="en-US"/>
        </w:rPr>
        <w:t>Attachment A</w:t>
      </w:r>
      <w:r>
        <w:rPr>
          <w:rFonts w:ascii="Calibri" w:eastAsia="Calibri" w:hAnsi="Calibri" w:cs="Calibri"/>
          <w:sz w:val="24"/>
          <w:szCs w:val="24"/>
          <w:lang w:val="en-US"/>
        </w:rPr>
        <w:t xml:space="preserve">) will be reviewed by the Drafting Technical Working Group (DTWG), </w:t>
      </w:r>
      <w:r w:rsidR="003D1DA8">
        <w:rPr>
          <w:rFonts w:ascii="Calibri" w:eastAsia="Calibri" w:hAnsi="Calibri" w:cs="Calibri"/>
          <w:sz w:val="24"/>
          <w:szCs w:val="24"/>
          <w:lang w:val="en-US"/>
        </w:rPr>
        <w:t xml:space="preserve">which is made up of </w:t>
      </w:r>
      <w:r>
        <w:rPr>
          <w:rFonts w:ascii="Calibri" w:eastAsia="Calibri" w:hAnsi="Calibri" w:cs="Calibri"/>
          <w:sz w:val="24"/>
          <w:szCs w:val="24"/>
          <w:lang w:val="en-US"/>
        </w:rPr>
        <w:t>certain PIPs and the US but open to all the Parties</w:t>
      </w:r>
      <w:r w:rsidR="003D1DA8">
        <w:rPr>
          <w:rFonts w:ascii="Calibri" w:eastAsia="Calibri" w:hAnsi="Calibri" w:cs="Calibri"/>
          <w:sz w:val="24"/>
          <w:szCs w:val="24"/>
          <w:lang w:val="en-US"/>
        </w:rPr>
        <w:t>.  The DTWG will meet as early as possible to review the draft Grant Agreement before mid-June and provide recommendations for consideration by the Parties.</w:t>
      </w:r>
    </w:p>
    <w:p w:rsidR="00CB058F" w:rsidRDefault="00CB058F" w:rsidP="007C1BCC">
      <w:pPr>
        <w:spacing w:after="0" w:line="240" w:lineRule="auto"/>
        <w:rPr>
          <w:rFonts w:ascii="Calibri" w:eastAsia="Calibri" w:hAnsi="Calibri" w:cs="Calibri"/>
          <w:sz w:val="24"/>
          <w:szCs w:val="24"/>
          <w:lang w:val="en-US"/>
        </w:rPr>
      </w:pPr>
    </w:p>
    <w:p w:rsidR="00993625" w:rsidRPr="00EB0E4A" w:rsidRDefault="00855696" w:rsidP="003D1DA8">
      <w:pPr>
        <w:pStyle w:val="ListParagraph"/>
        <w:numPr>
          <w:ilvl w:val="0"/>
          <w:numId w:val="1"/>
        </w:numPr>
        <w:spacing w:after="0" w:line="240" w:lineRule="auto"/>
        <w:rPr>
          <w:rFonts w:ascii="Calibri" w:eastAsia="Calibri" w:hAnsi="Calibri" w:cs="Calibri"/>
          <w:b/>
          <w:i/>
          <w:sz w:val="24"/>
          <w:szCs w:val="24"/>
          <w:lang w:val="en-US"/>
        </w:rPr>
      </w:pPr>
      <w:r>
        <w:rPr>
          <w:rFonts w:ascii="Calibri" w:eastAsia="Calibri" w:hAnsi="Calibri" w:cs="Calibri"/>
          <w:b/>
          <w:i/>
          <w:sz w:val="24"/>
          <w:szCs w:val="24"/>
          <w:lang w:val="en-US"/>
        </w:rPr>
        <w:t xml:space="preserve">EAA </w:t>
      </w:r>
      <w:r w:rsidR="00EB0E4A" w:rsidRPr="00EB0E4A">
        <w:rPr>
          <w:rFonts w:ascii="Calibri" w:eastAsia="Calibri" w:hAnsi="Calibri" w:cs="Calibri"/>
          <w:b/>
          <w:i/>
          <w:sz w:val="24"/>
          <w:szCs w:val="24"/>
          <w:lang w:val="en-US"/>
        </w:rPr>
        <w:t>for 2024 and beyond</w:t>
      </w:r>
    </w:p>
    <w:p w:rsidR="003D1DA8" w:rsidRDefault="003D1DA8" w:rsidP="003D1DA8">
      <w:pPr>
        <w:spacing w:after="0" w:line="240" w:lineRule="auto"/>
        <w:rPr>
          <w:rFonts w:ascii="Calibri" w:eastAsia="Calibri" w:hAnsi="Calibri" w:cs="Calibri"/>
          <w:sz w:val="24"/>
          <w:szCs w:val="24"/>
          <w:lang w:val="en-US"/>
        </w:rPr>
      </w:pPr>
    </w:p>
    <w:p w:rsidR="00B2160B" w:rsidRDefault="003D1DA8" w:rsidP="003D1DA8">
      <w:pPr>
        <w:spacing w:after="0" w:line="240" w:lineRule="auto"/>
        <w:rPr>
          <w:rFonts w:ascii="Calibri" w:eastAsia="Calibri" w:hAnsi="Calibri" w:cs="Calibri"/>
          <w:sz w:val="24"/>
          <w:szCs w:val="24"/>
          <w:lang w:val="en-US"/>
        </w:rPr>
      </w:pPr>
      <w:r>
        <w:rPr>
          <w:rFonts w:ascii="Calibri" w:eastAsia="Calibri" w:hAnsi="Calibri" w:cs="Calibri"/>
          <w:sz w:val="24"/>
          <w:szCs w:val="24"/>
          <w:lang w:val="en-US"/>
        </w:rPr>
        <w:t xml:space="preserve">The Parties considered proposed changes to the current EAA and agreed to </w:t>
      </w:r>
      <w:r w:rsidR="00B2160B">
        <w:rPr>
          <w:rFonts w:ascii="Calibri" w:eastAsia="Calibri" w:hAnsi="Calibri" w:cs="Calibri"/>
          <w:sz w:val="24"/>
          <w:szCs w:val="24"/>
          <w:lang w:val="en-US"/>
        </w:rPr>
        <w:t>apply minimal changes that include: the period of the new EAA, the increase in the amount of contribution by the US Government and some editorials in the preamble and specific provisions of the EAA.</w:t>
      </w:r>
    </w:p>
    <w:p w:rsidR="00B2160B" w:rsidRDefault="00B2160B" w:rsidP="003D1DA8">
      <w:pPr>
        <w:spacing w:after="0" w:line="240" w:lineRule="auto"/>
        <w:rPr>
          <w:rFonts w:ascii="Calibri" w:eastAsia="Calibri" w:hAnsi="Calibri" w:cs="Calibri"/>
          <w:sz w:val="24"/>
          <w:szCs w:val="24"/>
          <w:lang w:val="en-US"/>
        </w:rPr>
      </w:pPr>
    </w:p>
    <w:p w:rsidR="00B2160B" w:rsidRDefault="00B2160B" w:rsidP="003D1DA8">
      <w:pPr>
        <w:spacing w:after="0" w:line="240" w:lineRule="auto"/>
        <w:rPr>
          <w:rFonts w:ascii="Calibri" w:eastAsia="Calibri" w:hAnsi="Calibri" w:cs="Calibri"/>
          <w:sz w:val="24"/>
          <w:szCs w:val="24"/>
          <w:lang w:val="en-US"/>
        </w:rPr>
      </w:pPr>
      <w:r w:rsidRPr="00B2160B">
        <w:rPr>
          <w:rFonts w:ascii="Calibri" w:eastAsia="Calibri" w:hAnsi="Calibri" w:cs="Calibri"/>
          <w:b/>
          <w:sz w:val="24"/>
          <w:szCs w:val="24"/>
          <w:lang w:val="en-US"/>
        </w:rPr>
        <w:t>Attachment B</w:t>
      </w:r>
      <w:r>
        <w:rPr>
          <w:rFonts w:ascii="Calibri" w:eastAsia="Calibri" w:hAnsi="Calibri" w:cs="Calibri"/>
          <w:sz w:val="24"/>
          <w:szCs w:val="24"/>
          <w:lang w:val="en-US"/>
        </w:rPr>
        <w:t xml:space="preserve"> provides a copy of the agreed EAA for 2024 and beyond.</w:t>
      </w:r>
    </w:p>
    <w:p w:rsidR="00B2160B" w:rsidRDefault="00B2160B" w:rsidP="003D1DA8">
      <w:pPr>
        <w:spacing w:after="0" w:line="240" w:lineRule="auto"/>
        <w:rPr>
          <w:rFonts w:ascii="Calibri" w:eastAsia="Calibri" w:hAnsi="Calibri" w:cs="Calibri"/>
          <w:sz w:val="24"/>
          <w:szCs w:val="24"/>
          <w:lang w:val="en-US"/>
        </w:rPr>
      </w:pPr>
    </w:p>
    <w:p w:rsidR="00EB0E4A" w:rsidRDefault="00EB0E4A" w:rsidP="003D1DA8">
      <w:pPr>
        <w:spacing w:after="0" w:line="240" w:lineRule="auto"/>
        <w:rPr>
          <w:rFonts w:ascii="Calibri" w:eastAsia="Calibri" w:hAnsi="Calibri" w:cs="Calibri"/>
          <w:sz w:val="24"/>
          <w:szCs w:val="24"/>
          <w:lang w:val="en-US"/>
        </w:rPr>
      </w:pPr>
      <w:r>
        <w:rPr>
          <w:rFonts w:ascii="Calibri" w:eastAsia="Calibri" w:hAnsi="Calibri" w:cs="Calibri"/>
          <w:sz w:val="24"/>
          <w:szCs w:val="24"/>
          <w:lang w:val="en-US"/>
        </w:rPr>
        <w:t>The new EAA will be for a period of 10 years from 15 June 2023 to 14 June 2033.  The annual payment under the this EAA is US$60m.</w:t>
      </w:r>
    </w:p>
    <w:p w:rsidR="00EB0E4A" w:rsidRDefault="00EB0E4A" w:rsidP="003D1DA8">
      <w:pPr>
        <w:spacing w:after="0" w:line="240" w:lineRule="auto"/>
        <w:rPr>
          <w:rFonts w:ascii="Calibri" w:eastAsia="Calibri" w:hAnsi="Calibri" w:cs="Calibri"/>
          <w:sz w:val="24"/>
          <w:szCs w:val="24"/>
          <w:lang w:val="en-US"/>
        </w:rPr>
      </w:pPr>
    </w:p>
    <w:p w:rsidR="00B2160B" w:rsidRDefault="00B2160B" w:rsidP="003D1DA8">
      <w:pPr>
        <w:spacing w:after="0" w:line="240" w:lineRule="auto"/>
        <w:rPr>
          <w:rFonts w:ascii="Calibri" w:eastAsia="Calibri" w:hAnsi="Calibri" w:cs="Calibri"/>
          <w:sz w:val="24"/>
          <w:szCs w:val="24"/>
          <w:lang w:val="en-US"/>
        </w:rPr>
      </w:pPr>
      <w:r>
        <w:rPr>
          <w:rFonts w:ascii="Calibri" w:eastAsia="Calibri" w:hAnsi="Calibri" w:cs="Calibri"/>
          <w:sz w:val="24"/>
          <w:szCs w:val="24"/>
          <w:lang w:val="en-US"/>
        </w:rPr>
        <w:t>The US will advise when it is will be able to sign the new EAA after further consultation with its Capital.</w:t>
      </w:r>
    </w:p>
    <w:p w:rsidR="00EB0E4A" w:rsidRDefault="00EB0E4A" w:rsidP="003D1DA8">
      <w:pPr>
        <w:spacing w:after="0" w:line="240" w:lineRule="auto"/>
        <w:rPr>
          <w:rFonts w:ascii="Calibri" w:eastAsia="Calibri" w:hAnsi="Calibri" w:cs="Calibri"/>
          <w:sz w:val="24"/>
          <w:szCs w:val="24"/>
          <w:lang w:val="en-US"/>
        </w:rPr>
      </w:pPr>
    </w:p>
    <w:p w:rsidR="00EB0E4A" w:rsidRDefault="00EB0E4A" w:rsidP="003D1DA8">
      <w:pPr>
        <w:spacing w:after="0" w:line="240" w:lineRule="auto"/>
        <w:rPr>
          <w:rFonts w:ascii="Calibri" w:eastAsia="Calibri" w:hAnsi="Calibri" w:cs="Calibri"/>
          <w:sz w:val="24"/>
          <w:szCs w:val="24"/>
          <w:lang w:val="en-US"/>
        </w:rPr>
      </w:pPr>
      <w:r>
        <w:rPr>
          <w:rFonts w:ascii="Calibri" w:eastAsia="Calibri" w:hAnsi="Calibri" w:cs="Calibri"/>
          <w:sz w:val="24"/>
          <w:szCs w:val="24"/>
          <w:lang w:val="en-US"/>
        </w:rPr>
        <w:t>The US advised that the first payment of US$60m will start at the end of the first period under the new EAA, that is June 2024).   This means the payment will not be received until the end of the first financial period in June 2024.  This is inconsistent with the current arrangement where the payment is made at the start of the financial period in June of the year in which fishing is conducted.  Although this matter</w:t>
      </w:r>
      <w:bookmarkStart w:id="0" w:name="_GoBack"/>
      <w:bookmarkEnd w:id="0"/>
      <w:r>
        <w:rPr>
          <w:rFonts w:ascii="Calibri" w:eastAsia="Calibri" w:hAnsi="Calibri" w:cs="Calibri"/>
          <w:sz w:val="24"/>
          <w:szCs w:val="24"/>
          <w:lang w:val="en-US"/>
        </w:rPr>
        <w:t xml:space="preserve"> was not discussed at RS8 due to </w:t>
      </w:r>
      <w:r>
        <w:rPr>
          <w:rFonts w:ascii="Calibri" w:eastAsia="Calibri" w:hAnsi="Calibri" w:cs="Calibri"/>
          <w:sz w:val="24"/>
          <w:szCs w:val="24"/>
          <w:lang w:val="en-US"/>
        </w:rPr>
        <w:lastRenderedPageBreak/>
        <w:t>time constraints, the DTWG will be tasked to consider this in its first meeting before June this year.</w:t>
      </w:r>
    </w:p>
    <w:p w:rsidR="00B2160B" w:rsidRDefault="00B2160B" w:rsidP="003D1DA8">
      <w:pPr>
        <w:spacing w:after="0" w:line="240" w:lineRule="auto"/>
        <w:rPr>
          <w:rFonts w:ascii="Calibri" w:eastAsia="Calibri" w:hAnsi="Calibri" w:cs="Calibri"/>
          <w:sz w:val="24"/>
          <w:szCs w:val="24"/>
          <w:lang w:val="en-US"/>
        </w:rPr>
      </w:pPr>
    </w:p>
    <w:p w:rsidR="00855696" w:rsidRPr="00855696" w:rsidRDefault="00855696" w:rsidP="008866C9">
      <w:pPr>
        <w:spacing w:after="0" w:line="240" w:lineRule="auto"/>
        <w:rPr>
          <w:rFonts w:ascii="Arial" w:eastAsia="Times New Roman" w:hAnsi="Arial" w:cs="Arial"/>
          <w:b/>
          <w:bCs/>
          <w:color w:val="000000"/>
          <w:lang w:eastAsia="en-SB"/>
        </w:rPr>
      </w:pPr>
      <w:r w:rsidRPr="00855696">
        <w:rPr>
          <w:rFonts w:ascii="Calibri" w:eastAsia="Calibri" w:hAnsi="Calibri" w:cs="Calibri"/>
          <w:b/>
          <w:sz w:val="24"/>
          <w:szCs w:val="24"/>
          <w:lang w:val="en-US"/>
        </w:rPr>
        <w:t>Fishing Arrangements for 2024 and beyond</w:t>
      </w:r>
    </w:p>
    <w:p w:rsidR="00855696" w:rsidRPr="00855696" w:rsidRDefault="00855696" w:rsidP="008866C9">
      <w:pPr>
        <w:spacing w:after="0" w:line="240" w:lineRule="auto"/>
        <w:rPr>
          <w:rFonts w:ascii="Arial" w:eastAsia="Times New Roman" w:hAnsi="Arial" w:cs="Arial"/>
          <w:b/>
          <w:bCs/>
          <w:color w:val="000000"/>
          <w:lang w:eastAsia="en-SB"/>
        </w:rPr>
      </w:pPr>
    </w:p>
    <w:p w:rsidR="00855696" w:rsidRDefault="00ED5BBC" w:rsidP="008866C9">
      <w:pPr>
        <w:spacing w:after="0" w:line="240" w:lineRule="auto"/>
        <w:rPr>
          <w:rFonts w:ascii="Arial" w:eastAsia="Times New Roman" w:hAnsi="Arial" w:cs="Arial"/>
          <w:bCs/>
          <w:color w:val="000000"/>
          <w:lang w:val="en-US" w:eastAsia="en-SB"/>
        </w:rPr>
      </w:pPr>
      <w:r w:rsidRPr="00ED5BBC">
        <w:rPr>
          <w:rFonts w:ascii="Arial" w:eastAsia="Times New Roman" w:hAnsi="Arial" w:cs="Arial"/>
          <w:bCs/>
          <w:color w:val="000000"/>
          <w:lang w:val="en-US" w:eastAsia="en-SB"/>
        </w:rPr>
        <w:t xml:space="preserve">The </w:t>
      </w:r>
      <w:r>
        <w:rPr>
          <w:rFonts w:ascii="Arial" w:eastAsia="Times New Roman" w:hAnsi="Arial" w:cs="Arial"/>
          <w:bCs/>
          <w:color w:val="000000"/>
          <w:lang w:val="en-US" w:eastAsia="en-SB"/>
        </w:rPr>
        <w:t>Parties considered the fishing arrangements for 2024 and beyond under the extended Treaty.  They acknowledged that the current Pools under the Treaty will remain unchanged, at least for the first five year of the extended Treaty.</w:t>
      </w:r>
    </w:p>
    <w:p w:rsidR="00ED5BBC" w:rsidRDefault="00ED5BBC" w:rsidP="008866C9">
      <w:pPr>
        <w:spacing w:after="0" w:line="240" w:lineRule="auto"/>
        <w:rPr>
          <w:rFonts w:ascii="Arial" w:eastAsia="Times New Roman" w:hAnsi="Arial" w:cs="Arial"/>
          <w:bCs/>
          <w:color w:val="000000"/>
          <w:lang w:val="en-US" w:eastAsia="en-SB"/>
        </w:rPr>
      </w:pPr>
    </w:p>
    <w:p w:rsidR="004F49B3" w:rsidRDefault="0026116E" w:rsidP="008866C9">
      <w:pPr>
        <w:spacing w:after="0" w:line="240" w:lineRule="auto"/>
        <w:rPr>
          <w:rFonts w:ascii="Arial" w:eastAsia="Times New Roman" w:hAnsi="Arial" w:cs="Arial"/>
          <w:bCs/>
          <w:color w:val="000000"/>
          <w:lang w:val="en-US" w:eastAsia="en-SB"/>
        </w:rPr>
      </w:pPr>
      <w:r>
        <w:rPr>
          <w:rFonts w:ascii="Arial" w:eastAsia="Times New Roman" w:hAnsi="Arial" w:cs="Arial"/>
          <w:bCs/>
          <w:color w:val="000000"/>
          <w:lang w:val="en-US" w:eastAsia="en-SB"/>
        </w:rPr>
        <w:t xml:space="preserve">The Parties also considered the outcomes of the consultation between certain Pools </w:t>
      </w:r>
      <w:r w:rsidR="004F49B3">
        <w:rPr>
          <w:rFonts w:ascii="Arial" w:eastAsia="Times New Roman" w:hAnsi="Arial" w:cs="Arial"/>
          <w:bCs/>
          <w:color w:val="000000"/>
          <w:lang w:val="en-US" w:eastAsia="en-SB"/>
        </w:rPr>
        <w:t xml:space="preserve">and the US Industry </w:t>
      </w:r>
      <w:r>
        <w:rPr>
          <w:rFonts w:ascii="Arial" w:eastAsia="Times New Roman" w:hAnsi="Arial" w:cs="Arial"/>
          <w:bCs/>
          <w:color w:val="000000"/>
          <w:lang w:val="en-US" w:eastAsia="en-SB"/>
        </w:rPr>
        <w:t>on their Upfront Days for 2024</w:t>
      </w:r>
      <w:r w:rsidR="000A5270">
        <w:rPr>
          <w:rFonts w:ascii="Arial" w:eastAsia="Times New Roman" w:hAnsi="Arial" w:cs="Arial"/>
          <w:bCs/>
          <w:color w:val="000000"/>
          <w:lang w:val="en-US" w:eastAsia="en-SB"/>
        </w:rPr>
        <w:t>,</w:t>
      </w:r>
      <w:r w:rsidR="004F49B3">
        <w:rPr>
          <w:rFonts w:ascii="Arial" w:eastAsia="Times New Roman" w:hAnsi="Arial" w:cs="Arial"/>
          <w:bCs/>
          <w:color w:val="000000"/>
          <w:lang w:val="en-US" w:eastAsia="en-SB"/>
        </w:rPr>
        <w:t xml:space="preserve"> and noted the following:</w:t>
      </w:r>
    </w:p>
    <w:p w:rsidR="002B4780" w:rsidRDefault="002B4780" w:rsidP="008866C9">
      <w:pPr>
        <w:spacing w:after="0" w:line="240" w:lineRule="auto"/>
        <w:rPr>
          <w:rFonts w:ascii="Arial" w:eastAsia="Times New Roman" w:hAnsi="Arial" w:cs="Arial"/>
          <w:bCs/>
          <w:color w:val="000000"/>
          <w:lang w:val="en-US" w:eastAsia="en-SB"/>
        </w:rPr>
      </w:pPr>
    </w:p>
    <w:p w:rsidR="004F49B3" w:rsidRDefault="002B4780" w:rsidP="008866C9">
      <w:pPr>
        <w:spacing w:after="0" w:line="240" w:lineRule="auto"/>
        <w:rPr>
          <w:rFonts w:ascii="Arial" w:eastAsia="Times New Roman" w:hAnsi="Arial" w:cs="Arial"/>
          <w:bCs/>
          <w:color w:val="000000"/>
          <w:u w:val="single"/>
          <w:lang w:val="en-US" w:eastAsia="en-SB"/>
        </w:rPr>
      </w:pPr>
      <w:r>
        <w:rPr>
          <w:rFonts w:ascii="Arial" w:eastAsia="Times New Roman" w:hAnsi="Arial" w:cs="Arial"/>
          <w:bCs/>
          <w:color w:val="000000"/>
          <w:lang w:val="en-US" w:eastAsia="en-SB"/>
        </w:rPr>
        <w:tab/>
      </w:r>
      <w:r>
        <w:rPr>
          <w:rFonts w:ascii="Arial" w:eastAsia="Times New Roman" w:hAnsi="Arial" w:cs="Arial"/>
          <w:bCs/>
          <w:color w:val="000000"/>
          <w:lang w:val="en-US" w:eastAsia="en-SB"/>
        </w:rPr>
        <w:tab/>
      </w:r>
      <w:r w:rsidRPr="002B4780">
        <w:rPr>
          <w:rFonts w:ascii="Arial" w:eastAsia="Times New Roman" w:hAnsi="Arial" w:cs="Arial"/>
          <w:bCs/>
          <w:color w:val="000000"/>
          <w:u w:val="single"/>
          <w:lang w:val="en-US" w:eastAsia="en-SB"/>
        </w:rPr>
        <w:t>Pools</w:t>
      </w:r>
      <w:r w:rsidRPr="002B4780">
        <w:rPr>
          <w:rFonts w:ascii="Arial" w:eastAsia="Times New Roman" w:hAnsi="Arial" w:cs="Arial"/>
          <w:bCs/>
          <w:color w:val="000000"/>
          <w:u w:val="single"/>
          <w:lang w:val="en-US" w:eastAsia="en-SB"/>
        </w:rPr>
        <w:tab/>
      </w:r>
      <w:r w:rsidRPr="002B4780">
        <w:rPr>
          <w:rFonts w:ascii="Arial" w:eastAsia="Times New Roman" w:hAnsi="Arial" w:cs="Arial"/>
          <w:bCs/>
          <w:color w:val="000000"/>
          <w:u w:val="single"/>
          <w:lang w:val="en-US" w:eastAsia="en-SB"/>
        </w:rPr>
        <w:tab/>
      </w:r>
      <w:r w:rsidRPr="002B4780">
        <w:rPr>
          <w:rFonts w:ascii="Arial" w:eastAsia="Times New Roman" w:hAnsi="Arial" w:cs="Arial"/>
          <w:bCs/>
          <w:color w:val="000000"/>
          <w:u w:val="single"/>
          <w:lang w:val="en-US" w:eastAsia="en-SB"/>
        </w:rPr>
        <w:tab/>
        <w:t xml:space="preserve">   Upfront Days</w:t>
      </w:r>
    </w:p>
    <w:p w:rsidR="002B4780" w:rsidRPr="002B4780" w:rsidRDefault="002B4780" w:rsidP="008866C9">
      <w:pPr>
        <w:spacing w:after="0" w:line="240" w:lineRule="auto"/>
        <w:rPr>
          <w:rFonts w:ascii="Arial" w:eastAsia="Times New Roman" w:hAnsi="Arial" w:cs="Arial"/>
          <w:bCs/>
          <w:color w:val="000000"/>
          <w:u w:val="single"/>
          <w:lang w:val="en-US" w:eastAsia="en-SB"/>
        </w:rPr>
      </w:pPr>
    </w:p>
    <w:p w:rsidR="00ED5BBC" w:rsidRDefault="004F49B3" w:rsidP="004F49B3">
      <w:pPr>
        <w:pStyle w:val="ListParagraph"/>
        <w:numPr>
          <w:ilvl w:val="0"/>
          <w:numId w:val="4"/>
        </w:numPr>
        <w:spacing w:after="0" w:line="240" w:lineRule="auto"/>
        <w:rPr>
          <w:rFonts w:ascii="Arial" w:eastAsia="Times New Roman" w:hAnsi="Arial" w:cs="Arial"/>
          <w:bCs/>
          <w:color w:val="000000"/>
          <w:lang w:val="en-US" w:eastAsia="en-SB"/>
        </w:rPr>
      </w:pPr>
      <w:r>
        <w:rPr>
          <w:rFonts w:ascii="Arial" w:eastAsia="Times New Roman" w:hAnsi="Arial" w:cs="Arial"/>
          <w:bCs/>
          <w:color w:val="000000"/>
          <w:lang w:val="en-US" w:eastAsia="en-SB"/>
        </w:rPr>
        <w:t>VDS ex-Kiribati Pool</w:t>
      </w:r>
      <w:r>
        <w:rPr>
          <w:rFonts w:ascii="Arial" w:eastAsia="Times New Roman" w:hAnsi="Arial" w:cs="Arial"/>
          <w:bCs/>
          <w:color w:val="000000"/>
          <w:lang w:val="en-US" w:eastAsia="en-SB"/>
        </w:rPr>
        <w:tab/>
      </w:r>
      <w:proofErr w:type="gramStart"/>
      <w:r>
        <w:rPr>
          <w:rFonts w:ascii="Arial" w:eastAsia="Times New Roman" w:hAnsi="Arial" w:cs="Arial"/>
          <w:bCs/>
          <w:color w:val="000000"/>
          <w:lang w:val="en-US" w:eastAsia="en-SB"/>
        </w:rPr>
        <w:t>-  2,720</w:t>
      </w:r>
      <w:proofErr w:type="gramEnd"/>
    </w:p>
    <w:p w:rsidR="004F49B3" w:rsidRDefault="004F49B3" w:rsidP="004F49B3">
      <w:pPr>
        <w:pStyle w:val="ListParagraph"/>
        <w:numPr>
          <w:ilvl w:val="0"/>
          <w:numId w:val="4"/>
        </w:numPr>
        <w:spacing w:after="0" w:line="240" w:lineRule="auto"/>
        <w:rPr>
          <w:rFonts w:ascii="Arial" w:eastAsia="Times New Roman" w:hAnsi="Arial" w:cs="Arial"/>
          <w:bCs/>
          <w:color w:val="000000"/>
          <w:lang w:val="en-US" w:eastAsia="en-SB"/>
        </w:rPr>
      </w:pPr>
      <w:r>
        <w:rPr>
          <w:rFonts w:ascii="Arial" w:eastAsia="Times New Roman" w:hAnsi="Arial" w:cs="Arial"/>
          <w:bCs/>
          <w:color w:val="000000"/>
          <w:lang w:val="en-US" w:eastAsia="en-SB"/>
        </w:rPr>
        <w:t>Kiribati</w:t>
      </w:r>
      <w:r>
        <w:rPr>
          <w:rFonts w:ascii="Arial" w:eastAsia="Times New Roman" w:hAnsi="Arial" w:cs="Arial"/>
          <w:bCs/>
          <w:color w:val="000000"/>
          <w:lang w:val="en-US" w:eastAsia="en-SB"/>
        </w:rPr>
        <w:tab/>
      </w:r>
      <w:r>
        <w:rPr>
          <w:rFonts w:ascii="Arial" w:eastAsia="Times New Roman" w:hAnsi="Arial" w:cs="Arial"/>
          <w:bCs/>
          <w:color w:val="000000"/>
          <w:lang w:val="en-US" w:eastAsia="en-SB"/>
        </w:rPr>
        <w:tab/>
      </w:r>
      <w:r>
        <w:rPr>
          <w:rFonts w:ascii="Arial" w:eastAsia="Times New Roman" w:hAnsi="Arial" w:cs="Arial"/>
          <w:bCs/>
          <w:color w:val="000000"/>
          <w:lang w:val="en-US" w:eastAsia="en-SB"/>
        </w:rPr>
        <w:tab/>
      </w:r>
      <w:proofErr w:type="gramStart"/>
      <w:r>
        <w:rPr>
          <w:rFonts w:ascii="Arial" w:eastAsia="Times New Roman" w:hAnsi="Arial" w:cs="Arial"/>
          <w:bCs/>
          <w:color w:val="000000"/>
          <w:lang w:val="en-US" w:eastAsia="en-SB"/>
        </w:rPr>
        <w:t>-  tba</w:t>
      </w:r>
      <w:proofErr w:type="gramEnd"/>
    </w:p>
    <w:p w:rsidR="004F49B3" w:rsidRDefault="004F49B3" w:rsidP="004F49B3">
      <w:pPr>
        <w:pStyle w:val="ListParagraph"/>
        <w:numPr>
          <w:ilvl w:val="0"/>
          <w:numId w:val="4"/>
        </w:numPr>
        <w:spacing w:after="0" w:line="240" w:lineRule="auto"/>
        <w:rPr>
          <w:rFonts w:ascii="Arial" w:eastAsia="Times New Roman" w:hAnsi="Arial" w:cs="Arial"/>
          <w:bCs/>
          <w:color w:val="000000"/>
          <w:lang w:val="en-US" w:eastAsia="en-SB"/>
        </w:rPr>
      </w:pPr>
      <w:r>
        <w:rPr>
          <w:rFonts w:ascii="Arial" w:eastAsia="Times New Roman" w:hAnsi="Arial" w:cs="Arial"/>
          <w:bCs/>
          <w:color w:val="000000"/>
          <w:lang w:val="en-US" w:eastAsia="en-SB"/>
        </w:rPr>
        <w:t>Cook Islands</w:t>
      </w:r>
      <w:r>
        <w:rPr>
          <w:rFonts w:ascii="Arial" w:eastAsia="Times New Roman" w:hAnsi="Arial" w:cs="Arial"/>
          <w:bCs/>
          <w:color w:val="000000"/>
          <w:lang w:val="en-US" w:eastAsia="en-SB"/>
        </w:rPr>
        <w:tab/>
      </w:r>
      <w:r>
        <w:rPr>
          <w:rFonts w:ascii="Arial" w:eastAsia="Times New Roman" w:hAnsi="Arial" w:cs="Arial"/>
          <w:bCs/>
          <w:color w:val="000000"/>
          <w:lang w:val="en-US" w:eastAsia="en-SB"/>
        </w:rPr>
        <w:tab/>
      </w:r>
      <w:proofErr w:type="gramStart"/>
      <w:r>
        <w:rPr>
          <w:rFonts w:ascii="Arial" w:eastAsia="Times New Roman" w:hAnsi="Arial" w:cs="Arial"/>
          <w:bCs/>
          <w:color w:val="000000"/>
          <w:lang w:val="en-US" w:eastAsia="en-SB"/>
        </w:rPr>
        <w:t>-  350</w:t>
      </w:r>
      <w:proofErr w:type="gramEnd"/>
    </w:p>
    <w:p w:rsidR="004F49B3" w:rsidRDefault="004F49B3" w:rsidP="004F49B3">
      <w:pPr>
        <w:pStyle w:val="ListParagraph"/>
        <w:numPr>
          <w:ilvl w:val="0"/>
          <w:numId w:val="4"/>
        </w:numPr>
        <w:spacing w:after="0" w:line="240" w:lineRule="auto"/>
        <w:rPr>
          <w:rFonts w:ascii="Arial" w:eastAsia="Times New Roman" w:hAnsi="Arial" w:cs="Arial"/>
          <w:bCs/>
          <w:color w:val="000000"/>
          <w:lang w:val="en-US" w:eastAsia="en-SB"/>
        </w:rPr>
      </w:pPr>
      <w:r>
        <w:rPr>
          <w:rFonts w:ascii="Arial" w:eastAsia="Times New Roman" w:hAnsi="Arial" w:cs="Arial"/>
          <w:bCs/>
          <w:color w:val="000000"/>
          <w:lang w:val="en-US" w:eastAsia="en-SB"/>
        </w:rPr>
        <w:t>Exploratory</w:t>
      </w:r>
      <w:r>
        <w:rPr>
          <w:rFonts w:ascii="Arial" w:eastAsia="Times New Roman" w:hAnsi="Arial" w:cs="Arial"/>
          <w:bCs/>
          <w:color w:val="000000"/>
          <w:lang w:val="en-US" w:eastAsia="en-SB"/>
        </w:rPr>
        <w:tab/>
      </w:r>
      <w:r>
        <w:rPr>
          <w:rFonts w:ascii="Arial" w:eastAsia="Times New Roman" w:hAnsi="Arial" w:cs="Arial"/>
          <w:bCs/>
          <w:color w:val="000000"/>
          <w:lang w:val="en-US" w:eastAsia="en-SB"/>
        </w:rPr>
        <w:tab/>
      </w:r>
      <w:proofErr w:type="gramStart"/>
      <w:r>
        <w:rPr>
          <w:rFonts w:ascii="Arial" w:eastAsia="Times New Roman" w:hAnsi="Arial" w:cs="Arial"/>
          <w:bCs/>
          <w:color w:val="000000"/>
          <w:lang w:val="en-US" w:eastAsia="en-SB"/>
        </w:rPr>
        <w:t>-  same</w:t>
      </w:r>
      <w:proofErr w:type="gramEnd"/>
      <w:r>
        <w:rPr>
          <w:rFonts w:ascii="Arial" w:eastAsia="Times New Roman" w:hAnsi="Arial" w:cs="Arial"/>
          <w:bCs/>
          <w:color w:val="000000"/>
          <w:lang w:val="en-US" w:eastAsia="en-SB"/>
        </w:rPr>
        <w:t xml:space="preserve"> arrangement as in 2023.</w:t>
      </w:r>
    </w:p>
    <w:p w:rsidR="004F49B3" w:rsidRDefault="004F49B3" w:rsidP="004F49B3">
      <w:pPr>
        <w:spacing w:after="0" w:line="240" w:lineRule="auto"/>
        <w:rPr>
          <w:rFonts w:ascii="Arial" w:eastAsia="Times New Roman" w:hAnsi="Arial" w:cs="Arial"/>
          <w:bCs/>
          <w:color w:val="000000"/>
          <w:lang w:val="en-US" w:eastAsia="en-SB"/>
        </w:rPr>
      </w:pPr>
    </w:p>
    <w:p w:rsidR="000A5270" w:rsidRDefault="002B4780" w:rsidP="004F49B3">
      <w:pPr>
        <w:spacing w:after="0" w:line="240" w:lineRule="auto"/>
        <w:rPr>
          <w:rFonts w:ascii="Arial" w:eastAsia="Times New Roman" w:hAnsi="Arial" w:cs="Arial"/>
          <w:bCs/>
          <w:color w:val="000000"/>
          <w:lang w:val="en-US" w:eastAsia="en-SB"/>
        </w:rPr>
      </w:pPr>
      <w:r>
        <w:rPr>
          <w:rFonts w:ascii="Arial" w:eastAsia="Times New Roman" w:hAnsi="Arial" w:cs="Arial"/>
          <w:bCs/>
          <w:color w:val="000000"/>
          <w:lang w:val="en-US" w:eastAsia="en-SB"/>
        </w:rPr>
        <w:t xml:space="preserve">The Parties agreed that the US Industry will have the option to negotiate the number of fishing days to be purchased from the upfront days offered and the price for a day on an annual basis, rather than having </w:t>
      </w:r>
      <w:r w:rsidR="000A5270">
        <w:rPr>
          <w:rFonts w:ascii="Arial" w:eastAsia="Times New Roman" w:hAnsi="Arial" w:cs="Arial"/>
          <w:bCs/>
          <w:color w:val="000000"/>
          <w:lang w:val="en-US" w:eastAsia="en-SB"/>
        </w:rPr>
        <w:t>a predetermined fixed price for a certain period as currently provided in the Treaty.  This will provide the flexibility needed in the same way that is provided by the Pacific Island Parties</w:t>
      </w:r>
      <w:r w:rsidR="00B7014E">
        <w:rPr>
          <w:rFonts w:ascii="Arial" w:eastAsia="Times New Roman" w:hAnsi="Arial" w:cs="Arial"/>
          <w:bCs/>
          <w:color w:val="000000"/>
          <w:lang w:val="en-US" w:eastAsia="en-SB"/>
        </w:rPr>
        <w:t xml:space="preserve"> </w:t>
      </w:r>
      <w:r w:rsidR="00D669DA">
        <w:rPr>
          <w:rFonts w:ascii="Arial" w:eastAsia="Times New Roman" w:hAnsi="Arial" w:cs="Arial"/>
          <w:bCs/>
          <w:color w:val="000000"/>
          <w:lang w:val="en-US" w:eastAsia="en-SB"/>
        </w:rPr>
        <w:t>(</w:t>
      </w:r>
      <w:r w:rsidR="00B7014E">
        <w:rPr>
          <w:rFonts w:ascii="Arial" w:eastAsia="Times New Roman" w:hAnsi="Arial" w:cs="Arial"/>
          <w:bCs/>
          <w:color w:val="000000"/>
          <w:lang w:val="en-US" w:eastAsia="en-SB"/>
        </w:rPr>
        <w:t xml:space="preserve">PIPs) </w:t>
      </w:r>
      <w:r w:rsidR="000A5270">
        <w:rPr>
          <w:rFonts w:ascii="Arial" w:eastAsia="Times New Roman" w:hAnsi="Arial" w:cs="Arial"/>
          <w:bCs/>
          <w:color w:val="000000"/>
          <w:lang w:val="en-US" w:eastAsia="en-SB"/>
        </w:rPr>
        <w:t>to other bilateral fleets operating in the region.</w:t>
      </w:r>
    </w:p>
    <w:p w:rsidR="000A5270" w:rsidRDefault="000A5270" w:rsidP="004F49B3">
      <w:pPr>
        <w:spacing w:after="0" w:line="240" w:lineRule="auto"/>
        <w:rPr>
          <w:rFonts w:ascii="Arial" w:eastAsia="Times New Roman" w:hAnsi="Arial" w:cs="Arial"/>
          <w:bCs/>
          <w:color w:val="000000"/>
          <w:lang w:val="en-US" w:eastAsia="en-SB"/>
        </w:rPr>
      </w:pPr>
    </w:p>
    <w:p w:rsidR="001B281F" w:rsidRDefault="001B281F" w:rsidP="004F49B3">
      <w:pPr>
        <w:spacing w:after="0" w:line="240" w:lineRule="auto"/>
        <w:rPr>
          <w:rFonts w:ascii="Arial" w:eastAsia="Times New Roman" w:hAnsi="Arial" w:cs="Arial"/>
          <w:bCs/>
          <w:color w:val="000000"/>
          <w:lang w:val="en-US" w:eastAsia="en-SB"/>
        </w:rPr>
      </w:pPr>
      <w:r>
        <w:rPr>
          <w:rFonts w:ascii="Arial" w:eastAsia="Times New Roman" w:hAnsi="Arial" w:cs="Arial"/>
          <w:bCs/>
          <w:color w:val="000000"/>
          <w:lang w:val="en-US" w:eastAsia="en-SB"/>
        </w:rPr>
        <w:t>At their internal meeting, t</w:t>
      </w:r>
      <w:r w:rsidR="000A5270">
        <w:rPr>
          <w:rFonts w:ascii="Arial" w:eastAsia="Times New Roman" w:hAnsi="Arial" w:cs="Arial"/>
          <w:bCs/>
          <w:color w:val="000000"/>
          <w:lang w:val="en-US" w:eastAsia="en-SB"/>
        </w:rPr>
        <w:t xml:space="preserve">he </w:t>
      </w:r>
      <w:r>
        <w:rPr>
          <w:rFonts w:ascii="Arial" w:eastAsia="Times New Roman" w:hAnsi="Arial" w:cs="Arial"/>
          <w:bCs/>
          <w:color w:val="000000"/>
          <w:lang w:val="en-US" w:eastAsia="en-SB"/>
        </w:rPr>
        <w:t xml:space="preserve">PIPs </w:t>
      </w:r>
      <w:r w:rsidR="000A5270">
        <w:rPr>
          <w:rFonts w:ascii="Arial" w:eastAsia="Times New Roman" w:hAnsi="Arial" w:cs="Arial"/>
          <w:bCs/>
          <w:color w:val="000000"/>
          <w:lang w:val="en-US" w:eastAsia="en-SB"/>
        </w:rPr>
        <w:t xml:space="preserve">considered the top-up payment for the upfront days and agreed to continue to discuss this matter.  Different amounts for the payment of each upfront day offered were discussed but </w:t>
      </w:r>
      <w:r>
        <w:rPr>
          <w:rFonts w:ascii="Arial" w:eastAsia="Times New Roman" w:hAnsi="Arial" w:cs="Arial"/>
          <w:bCs/>
          <w:color w:val="000000"/>
          <w:lang w:val="en-US" w:eastAsia="en-SB"/>
        </w:rPr>
        <w:t>no agreement was reached.  This matter will be further discussed internally in the next meeting of the Pacific Island Parties.</w:t>
      </w:r>
    </w:p>
    <w:p w:rsidR="001B281F" w:rsidRDefault="001B281F" w:rsidP="004F49B3">
      <w:pPr>
        <w:spacing w:after="0" w:line="240" w:lineRule="auto"/>
        <w:rPr>
          <w:rFonts w:ascii="Arial" w:eastAsia="Times New Roman" w:hAnsi="Arial" w:cs="Arial"/>
          <w:bCs/>
          <w:color w:val="000000"/>
          <w:lang w:val="en-US" w:eastAsia="en-SB"/>
        </w:rPr>
      </w:pPr>
    </w:p>
    <w:p w:rsidR="000A5270" w:rsidRDefault="001B281F" w:rsidP="004F49B3">
      <w:pPr>
        <w:spacing w:after="0" w:line="240" w:lineRule="auto"/>
        <w:rPr>
          <w:rFonts w:ascii="Arial" w:eastAsia="Times New Roman" w:hAnsi="Arial" w:cs="Arial"/>
          <w:bCs/>
          <w:color w:val="000000"/>
          <w:lang w:val="en-US" w:eastAsia="en-SB"/>
        </w:rPr>
      </w:pPr>
      <w:r>
        <w:rPr>
          <w:rFonts w:ascii="Arial" w:eastAsia="Times New Roman" w:hAnsi="Arial" w:cs="Arial"/>
          <w:bCs/>
          <w:color w:val="000000"/>
          <w:lang w:val="en-US" w:eastAsia="en-SB"/>
        </w:rPr>
        <w:t>The PIPs also considered the different options based on various scenarios provided for the distribution of the US Government’s annual contribution of US$60m.  The scenarios included consideration for changes that could be made in the current parameters of the distribution arrangement, such as the PDF amount, the equal distribution allocation and the allocation for the top-up for the upfront days.  The PIPs agreed to continue to discuss this matter in their next internal meeting.</w:t>
      </w:r>
    </w:p>
    <w:p w:rsidR="000A5270" w:rsidRDefault="000A5270" w:rsidP="004F49B3">
      <w:pPr>
        <w:spacing w:after="0" w:line="240" w:lineRule="auto"/>
        <w:rPr>
          <w:rFonts w:ascii="Arial" w:eastAsia="Times New Roman" w:hAnsi="Arial" w:cs="Arial"/>
          <w:bCs/>
          <w:color w:val="000000"/>
          <w:lang w:val="en-US" w:eastAsia="en-SB"/>
        </w:rPr>
      </w:pPr>
    </w:p>
    <w:p w:rsidR="008866C9" w:rsidRDefault="008866C9" w:rsidP="008866C9">
      <w:pPr>
        <w:spacing w:after="0" w:line="240" w:lineRule="auto"/>
        <w:rPr>
          <w:rFonts w:ascii="Arial" w:eastAsia="Times New Roman" w:hAnsi="Arial" w:cs="Arial"/>
          <w:b/>
          <w:bCs/>
          <w:color w:val="000000"/>
          <w:lang w:eastAsia="en-SB"/>
        </w:rPr>
      </w:pPr>
      <w:r w:rsidRPr="008866C9">
        <w:rPr>
          <w:rFonts w:ascii="Arial" w:eastAsia="Times New Roman" w:hAnsi="Arial" w:cs="Arial"/>
          <w:b/>
          <w:bCs/>
          <w:color w:val="000000"/>
          <w:lang w:eastAsia="en-SB"/>
        </w:rPr>
        <w:t>Amendments to Annex II </w:t>
      </w:r>
    </w:p>
    <w:p w:rsidR="00EB0E4A" w:rsidRDefault="00EB0E4A" w:rsidP="008866C9">
      <w:pPr>
        <w:spacing w:after="0" w:line="240" w:lineRule="auto"/>
        <w:rPr>
          <w:rFonts w:ascii="Times New Roman" w:eastAsia="Times New Roman" w:hAnsi="Times New Roman" w:cs="Times New Roman"/>
          <w:sz w:val="24"/>
          <w:szCs w:val="24"/>
          <w:lang w:eastAsia="en-SB"/>
        </w:rPr>
      </w:pPr>
    </w:p>
    <w:p w:rsidR="00EE2F8D" w:rsidRDefault="00D669DA" w:rsidP="008866C9">
      <w:pPr>
        <w:spacing w:after="0" w:line="240" w:lineRule="auto"/>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The Parties considered the proposed changes to Annex II by both sides.</w:t>
      </w:r>
    </w:p>
    <w:p w:rsidR="00EE2F8D" w:rsidRDefault="00EE2F8D" w:rsidP="008866C9">
      <w:pPr>
        <w:spacing w:after="0" w:line="240" w:lineRule="auto"/>
        <w:rPr>
          <w:rFonts w:ascii="Times New Roman" w:eastAsia="Times New Roman" w:hAnsi="Times New Roman" w:cs="Times New Roman"/>
          <w:sz w:val="24"/>
          <w:szCs w:val="24"/>
          <w:lang w:val="en-US" w:eastAsia="en-SB"/>
        </w:rPr>
      </w:pPr>
    </w:p>
    <w:p w:rsidR="008D7242" w:rsidRPr="008D7242" w:rsidRDefault="008D7242" w:rsidP="008D7242">
      <w:pPr>
        <w:jc w:val="both"/>
        <w:rPr>
          <w:sz w:val="24"/>
          <w:szCs w:val="24"/>
        </w:rPr>
      </w:pPr>
      <w:r>
        <w:rPr>
          <w:sz w:val="24"/>
          <w:szCs w:val="24"/>
          <w:lang w:val="en-US"/>
        </w:rPr>
        <w:t>The</w:t>
      </w:r>
      <w:r w:rsidR="00827A27">
        <w:rPr>
          <w:sz w:val="24"/>
          <w:szCs w:val="24"/>
          <w:lang w:val="en-US"/>
        </w:rPr>
        <w:t xml:space="preserve"> Parties </w:t>
      </w:r>
      <w:r>
        <w:rPr>
          <w:sz w:val="24"/>
          <w:szCs w:val="24"/>
          <w:lang w:val="en-US"/>
        </w:rPr>
        <w:t xml:space="preserve">agreed </w:t>
      </w:r>
      <w:r w:rsidRPr="008D7242">
        <w:rPr>
          <w:sz w:val="24"/>
          <w:szCs w:val="24"/>
        </w:rPr>
        <w:t>to use the MOU in 2023 as a starting point</w:t>
      </w:r>
      <w:r>
        <w:rPr>
          <w:sz w:val="24"/>
          <w:szCs w:val="24"/>
          <w:lang w:val="en-US"/>
        </w:rPr>
        <w:t xml:space="preserve"> and reconfirmed their earlier agreement on the following:</w:t>
      </w:r>
      <w:r w:rsidRPr="008D7242">
        <w:rPr>
          <w:sz w:val="24"/>
          <w:szCs w:val="24"/>
        </w:rPr>
        <w:t xml:space="preserve"> </w:t>
      </w:r>
    </w:p>
    <w:p w:rsidR="008D7242" w:rsidRPr="008D7242" w:rsidRDefault="008D7242" w:rsidP="008D7242">
      <w:pPr>
        <w:pStyle w:val="ListParagraph"/>
        <w:numPr>
          <w:ilvl w:val="0"/>
          <w:numId w:val="5"/>
        </w:numPr>
        <w:ind w:left="709" w:hanging="425"/>
        <w:jc w:val="both"/>
        <w:rPr>
          <w:sz w:val="24"/>
          <w:szCs w:val="24"/>
        </w:rPr>
      </w:pPr>
      <w:r w:rsidRPr="008D7242">
        <w:rPr>
          <w:sz w:val="24"/>
          <w:szCs w:val="24"/>
        </w:rPr>
        <w:t>paragraph 4(b) to retain the reference to observer ‘services’;</w:t>
      </w:r>
    </w:p>
    <w:p w:rsidR="008D7242" w:rsidRPr="008D7242" w:rsidRDefault="008D7242" w:rsidP="008D7242">
      <w:pPr>
        <w:pStyle w:val="ListParagraph"/>
        <w:numPr>
          <w:ilvl w:val="0"/>
          <w:numId w:val="5"/>
        </w:numPr>
        <w:ind w:left="709" w:hanging="425"/>
        <w:jc w:val="both"/>
        <w:rPr>
          <w:sz w:val="24"/>
          <w:szCs w:val="24"/>
        </w:rPr>
      </w:pPr>
      <w:r w:rsidRPr="008D7242">
        <w:rPr>
          <w:sz w:val="24"/>
          <w:szCs w:val="24"/>
        </w:rPr>
        <w:t xml:space="preserve">paragraph 14 to retain the notification period of five working days; and </w:t>
      </w:r>
    </w:p>
    <w:p w:rsidR="008D7242" w:rsidRPr="008D7242" w:rsidRDefault="008D7242" w:rsidP="008D7242">
      <w:pPr>
        <w:pStyle w:val="ListParagraph"/>
        <w:numPr>
          <w:ilvl w:val="0"/>
          <w:numId w:val="5"/>
        </w:numPr>
        <w:ind w:left="709" w:hanging="425"/>
        <w:jc w:val="both"/>
        <w:rPr>
          <w:sz w:val="24"/>
          <w:szCs w:val="24"/>
        </w:rPr>
      </w:pPr>
      <w:r w:rsidRPr="008D7242">
        <w:rPr>
          <w:sz w:val="24"/>
          <w:szCs w:val="24"/>
        </w:rPr>
        <w:t xml:space="preserve">inclusion of a new paragraph that incorporates the agreed amendments of 3 December 2016 which have not entered into force. </w:t>
      </w:r>
    </w:p>
    <w:p w:rsidR="008866C9" w:rsidRDefault="00827A27" w:rsidP="008866C9">
      <w:pPr>
        <w:spacing w:after="240" w:line="240" w:lineRule="auto"/>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 xml:space="preserve">The effect of </w:t>
      </w:r>
      <w:r w:rsidR="00E705D9">
        <w:rPr>
          <w:rFonts w:ascii="Times New Roman" w:eastAsia="Times New Roman" w:hAnsi="Times New Roman" w:cs="Times New Roman"/>
          <w:sz w:val="24"/>
          <w:szCs w:val="24"/>
          <w:lang w:val="en-US" w:eastAsia="en-SB"/>
        </w:rPr>
        <w:t>i</w:t>
      </w:r>
      <w:r>
        <w:rPr>
          <w:rFonts w:ascii="Times New Roman" w:eastAsia="Times New Roman" w:hAnsi="Times New Roman" w:cs="Times New Roman"/>
          <w:sz w:val="24"/>
          <w:szCs w:val="24"/>
          <w:lang w:val="en-US" w:eastAsia="en-SB"/>
        </w:rPr>
        <w:t xml:space="preserve">tem (iii) above is that </w:t>
      </w:r>
      <w:r w:rsidR="00455668">
        <w:rPr>
          <w:rFonts w:ascii="Times New Roman" w:eastAsia="Times New Roman" w:hAnsi="Times New Roman" w:cs="Times New Roman"/>
          <w:sz w:val="24"/>
          <w:szCs w:val="24"/>
          <w:lang w:val="en-US" w:eastAsia="en-SB"/>
        </w:rPr>
        <w:t xml:space="preserve">by ratifying </w:t>
      </w:r>
      <w:r w:rsidR="00E705D9">
        <w:rPr>
          <w:rFonts w:ascii="Times New Roman" w:eastAsia="Times New Roman" w:hAnsi="Times New Roman" w:cs="Times New Roman"/>
          <w:sz w:val="24"/>
          <w:szCs w:val="24"/>
          <w:lang w:val="en-US" w:eastAsia="en-SB"/>
        </w:rPr>
        <w:t>the new amendments will also have ratified the outstanding 2016 amendments in respect of those PIPs which have yet to ratify such outstanding 2016 amendments.</w:t>
      </w:r>
    </w:p>
    <w:p w:rsidR="006D5389" w:rsidRDefault="00827A27" w:rsidP="00455668">
      <w:pPr>
        <w:spacing w:after="240" w:line="240" w:lineRule="auto"/>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 xml:space="preserve">Although no agreement on the proposed changes to Annex II has been reached, the Parties agreed on two sets of documents that will assist in the further consideration of </w:t>
      </w:r>
      <w:r w:rsidR="006D5389">
        <w:rPr>
          <w:rFonts w:ascii="Times New Roman" w:eastAsia="Times New Roman" w:hAnsi="Times New Roman" w:cs="Times New Roman"/>
          <w:sz w:val="24"/>
          <w:szCs w:val="24"/>
          <w:lang w:val="en-US" w:eastAsia="en-SB"/>
        </w:rPr>
        <w:t>Annex II</w:t>
      </w:r>
      <w:r w:rsidR="00455668">
        <w:rPr>
          <w:rFonts w:ascii="Times New Roman" w:eastAsia="Times New Roman" w:hAnsi="Times New Roman" w:cs="Times New Roman"/>
          <w:sz w:val="24"/>
          <w:szCs w:val="24"/>
          <w:lang w:val="en-US" w:eastAsia="en-SB"/>
        </w:rPr>
        <w:t xml:space="preserve">.  </w:t>
      </w:r>
      <w:r w:rsidR="006D5389" w:rsidRPr="00455668">
        <w:rPr>
          <w:rFonts w:ascii="Times New Roman" w:eastAsia="Times New Roman" w:hAnsi="Times New Roman" w:cs="Times New Roman"/>
          <w:b/>
          <w:sz w:val="24"/>
          <w:szCs w:val="24"/>
          <w:lang w:val="en-US" w:eastAsia="en-SB"/>
        </w:rPr>
        <w:lastRenderedPageBreak/>
        <w:t>Attachment C</w:t>
      </w:r>
      <w:r w:rsidR="006D5389">
        <w:rPr>
          <w:rFonts w:ascii="Times New Roman" w:eastAsia="Times New Roman" w:hAnsi="Times New Roman" w:cs="Times New Roman"/>
          <w:sz w:val="24"/>
          <w:szCs w:val="24"/>
          <w:lang w:val="en-US" w:eastAsia="en-SB"/>
        </w:rPr>
        <w:t xml:space="preserve"> </w:t>
      </w:r>
      <w:r w:rsidR="00455668">
        <w:rPr>
          <w:rFonts w:ascii="Times New Roman" w:eastAsia="Times New Roman" w:hAnsi="Times New Roman" w:cs="Times New Roman"/>
          <w:sz w:val="24"/>
          <w:szCs w:val="24"/>
          <w:lang w:val="en-US" w:eastAsia="en-SB"/>
        </w:rPr>
        <w:t xml:space="preserve">provides </w:t>
      </w:r>
      <w:r w:rsidR="006D5389">
        <w:rPr>
          <w:rFonts w:ascii="Times New Roman" w:eastAsia="Times New Roman" w:hAnsi="Times New Roman" w:cs="Times New Roman"/>
          <w:sz w:val="24"/>
          <w:szCs w:val="24"/>
          <w:lang w:val="en-US" w:eastAsia="en-SB"/>
        </w:rPr>
        <w:t>the status of the proposed amendments and</w:t>
      </w:r>
      <w:r w:rsidR="00455668">
        <w:rPr>
          <w:rFonts w:ascii="Times New Roman" w:eastAsia="Times New Roman" w:hAnsi="Times New Roman" w:cs="Times New Roman"/>
          <w:sz w:val="24"/>
          <w:szCs w:val="24"/>
          <w:lang w:val="en-US" w:eastAsia="en-SB"/>
        </w:rPr>
        <w:t xml:space="preserve"> </w:t>
      </w:r>
      <w:r w:rsidR="006D5389" w:rsidRPr="00455668">
        <w:rPr>
          <w:rFonts w:ascii="Times New Roman" w:eastAsia="Times New Roman" w:hAnsi="Times New Roman" w:cs="Times New Roman"/>
          <w:b/>
          <w:sz w:val="24"/>
          <w:szCs w:val="24"/>
          <w:lang w:val="en-US" w:eastAsia="en-SB"/>
        </w:rPr>
        <w:t>Attachment D</w:t>
      </w:r>
      <w:r w:rsidR="006D5389">
        <w:rPr>
          <w:rFonts w:ascii="Times New Roman" w:eastAsia="Times New Roman" w:hAnsi="Times New Roman" w:cs="Times New Roman"/>
          <w:sz w:val="24"/>
          <w:szCs w:val="24"/>
          <w:lang w:val="en-US" w:eastAsia="en-SB"/>
        </w:rPr>
        <w:t xml:space="preserve"> </w:t>
      </w:r>
      <w:r w:rsidR="00455668">
        <w:rPr>
          <w:rFonts w:ascii="Times New Roman" w:eastAsia="Times New Roman" w:hAnsi="Times New Roman" w:cs="Times New Roman"/>
          <w:sz w:val="24"/>
          <w:szCs w:val="24"/>
          <w:lang w:val="en-US" w:eastAsia="en-SB"/>
        </w:rPr>
        <w:t>provides th</w:t>
      </w:r>
      <w:r w:rsidR="006D5389">
        <w:rPr>
          <w:rFonts w:ascii="Times New Roman" w:eastAsia="Times New Roman" w:hAnsi="Times New Roman" w:cs="Times New Roman"/>
          <w:sz w:val="24"/>
          <w:szCs w:val="24"/>
          <w:lang w:val="en-US" w:eastAsia="en-SB"/>
        </w:rPr>
        <w:t xml:space="preserve">e amended </w:t>
      </w:r>
      <w:r w:rsidR="00455668">
        <w:rPr>
          <w:rFonts w:ascii="Times New Roman" w:eastAsia="Times New Roman" w:hAnsi="Times New Roman" w:cs="Times New Roman"/>
          <w:sz w:val="24"/>
          <w:szCs w:val="24"/>
          <w:lang w:val="en-US" w:eastAsia="en-SB"/>
        </w:rPr>
        <w:t xml:space="preserve">version of </w:t>
      </w:r>
      <w:r w:rsidR="006D5389">
        <w:rPr>
          <w:rFonts w:ascii="Times New Roman" w:eastAsia="Times New Roman" w:hAnsi="Times New Roman" w:cs="Times New Roman"/>
          <w:sz w:val="24"/>
          <w:szCs w:val="24"/>
          <w:lang w:val="en-US" w:eastAsia="en-SB"/>
        </w:rPr>
        <w:t>Annex II based on the agreed changes and</w:t>
      </w:r>
      <w:r w:rsidR="00455668">
        <w:rPr>
          <w:rFonts w:ascii="Times New Roman" w:eastAsia="Times New Roman" w:hAnsi="Times New Roman" w:cs="Times New Roman"/>
          <w:sz w:val="24"/>
          <w:szCs w:val="24"/>
          <w:lang w:val="en-US" w:eastAsia="en-SB"/>
        </w:rPr>
        <w:t xml:space="preserve"> the current </w:t>
      </w:r>
      <w:r w:rsidR="006D5389">
        <w:rPr>
          <w:rFonts w:ascii="Times New Roman" w:eastAsia="Times New Roman" w:hAnsi="Times New Roman" w:cs="Times New Roman"/>
          <w:sz w:val="24"/>
          <w:szCs w:val="24"/>
          <w:lang w:val="en-US" w:eastAsia="en-SB"/>
        </w:rPr>
        <w:t>proposed amendments</w:t>
      </w:r>
      <w:r w:rsidR="00455668">
        <w:rPr>
          <w:rFonts w:ascii="Times New Roman" w:eastAsia="Times New Roman" w:hAnsi="Times New Roman" w:cs="Times New Roman"/>
          <w:sz w:val="24"/>
          <w:szCs w:val="24"/>
          <w:lang w:val="en-US" w:eastAsia="en-SB"/>
        </w:rPr>
        <w:t xml:space="preserve">.  The US advised that </w:t>
      </w:r>
      <w:r w:rsidR="006D5389">
        <w:rPr>
          <w:rFonts w:ascii="Times New Roman" w:eastAsia="Times New Roman" w:hAnsi="Times New Roman" w:cs="Times New Roman"/>
          <w:sz w:val="24"/>
          <w:szCs w:val="24"/>
          <w:lang w:val="en-US" w:eastAsia="en-SB"/>
        </w:rPr>
        <w:t xml:space="preserve">it </w:t>
      </w:r>
      <w:r w:rsidR="00455668">
        <w:rPr>
          <w:rFonts w:ascii="Times New Roman" w:eastAsia="Times New Roman" w:hAnsi="Times New Roman" w:cs="Times New Roman"/>
          <w:sz w:val="24"/>
          <w:szCs w:val="24"/>
          <w:lang w:val="en-US" w:eastAsia="en-SB"/>
        </w:rPr>
        <w:t>has new proposed amendments which have not been    included but this will be further addressed by the DTWG.</w:t>
      </w:r>
    </w:p>
    <w:p w:rsidR="008866C9" w:rsidRPr="008866C9" w:rsidRDefault="008866C9" w:rsidP="008866C9">
      <w:pPr>
        <w:spacing w:after="0" w:line="240" w:lineRule="auto"/>
        <w:rPr>
          <w:rFonts w:ascii="Times New Roman" w:eastAsia="Times New Roman" w:hAnsi="Times New Roman" w:cs="Times New Roman"/>
          <w:sz w:val="24"/>
          <w:szCs w:val="24"/>
          <w:lang w:eastAsia="en-SB"/>
        </w:rPr>
      </w:pPr>
      <w:r w:rsidRPr="008866C9">
        <w:rPr>
          <w:rFonts w:ascii="Arial" w:eastAsia="Times New Roman" w:hAnsi="Arial" w:cs="Arial"/>
          <w:b/>
          <w:bCs/>
          <w:color w:val="000000"/>
          <w:lang w:eastAsia="en-SB"/>
        </w:rPr>
        <w:t>Regional Terms and Conditions </w:t>
      </w:r>
    </w:p>
    <w:p w:rsidR="00B1108C" w:rsidRDefault="00483DEF" w:rsidP="00ED269D">
      <w:pPr>
        <w:spacing w:before="240" w:after="240" w:line="240" w:lineRule="auto"/>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 xml:space="preserve">The Parties </w:t>
      </w:r>
      <w:r w:rsidR="00B1108C">
        <w:rPr>
          <w:rFonts w:ascii="Times New Roman" w:eastAsia="Times New Roman" w:hAnsi="Times New Roman" w:cs="Times New Roman"/>
          <w:sz w:val="24"/>
          <w:szCs w:val="24"/>
          <w:lang w:val="en-US" w:eastAsia="en-SB"/>
        </w:rPr>
        <w:t xml:space="preserve">agreed to </w:t>
      </w:r>
      <w:r>
        <w:rPr>
          <w:rFonts w:ascii="Times New Roman" w:eastAsia="Times New Roman" w:hAnsi="Times New Roman" w:cs="Times New Roman"/>
          <w:sz w:val="24"/>
          <w:szCs w:val="24"/>
          <w:lang w:val="en-US" w:eastAsia="en-SB"/>
        </w:rPr>
        <w:t xml:space="preserve">the proposed changes to the Regional Terms and Conditions (RTCs) by the PNA members on the need for FAD buoy registration and tracking, </w:t>
      </w:r>
      <w:r w:rsidR="00B1108C">
        <w:rPr>
          <w:rFonts w:ascii="Times New Roman" w:eastAsia="Times New Roman" w:hAnsi="Times New Roman" w:cs="Times New Roman"/>
          <w:sz w:val="24"/>
          <w:szCs w:val="24"/>
          <w:lang w:val="en-US" w:eastAsia="en-SB"/>
        </w:rPr>
        <w:t xml:space="preserve">which is incorporated as a new clause 20A in the revised RTCs, provided as </w:t>
      </w:r>
      <w:r w:rsidR="00B1108C" w:rsidRPr="00B1108C">
        <w:rPr>
          <w:rFonts w:ascii="Times New Roman" w:eastAsia="Times New Roman" w:hAnsi="Times New Roman" w:cs="Times New Roman"/>
          <w:b/>
          <w:sz w:val="24"/>
          <w:szCs w:val="24"/>
          <w:lang w:val="en-US" w:eastAsia="en-SB"/>
        </w:rPr>
        <w:t>Attachment E</w:t>
      </w:r>
      <w:r w:rsidR="00B1108C">
        <w:rPr>
          <w:rFonts w:ascii="Times New Roman" w:eastAsia="Times New Roman" w:hAnsi="Times New Roman" w:cs="Times New Roman"/>
          <w:sz w:val="24"/>
          <w:szCs w:val="24"/>
          <w:lang w:val="en-US" w:eastAsia="en-SB"/>
        </w:rPr>
        <w:t xml:space="preserve">.  </w:t>
      </w:r>
    </w:p>
    <w:p w:rsidR="00483DEF" w:rsidRDefault="00483DEF" w:rsidP="008866C9">
      <w:pPr>
        <w:spacing w:after="240" w:line="240" w:lineRule="auto"/>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 xml:space="preserve">In accordance with the </w:t>
      </w:r>
      <w:r w:rsidR="00B1108C">
        <w:rPr>
          <w:rFonts w:ascii="Times New Roman" w:eastAsia="Times New Roman" w:hAnsi="Times New Roman" w:cs="Times New Roman"/>
          <w:sz w:val="24"/>
          <w:szCs w:val="24"/>
          <w:lang w:val="en-US" w:eastAsia="en-SB"/>
        </w:rPr>
        <w:t>Paragraph 4.10 of the Treaty, the agreed changes will become effective on US fleet operating under the Treaty if the US is notified not less than in advance of the start of the licensing period in which it is to apply.  This means that the changes will apply on 1</w:t>
      </w:r>
      <w:r w:rsidR="00B1108C" w:rsidRPr="00B1108C">
        <w:rPr>
          <w:rFonts w:ascii="Times New Roman" w:eastAsia="Times New Roman" w:hAnsi="Times New Roman" w:cs="Times New Roman"/>
          <w:sz w:val="24"/>
          <w:szCs w:val="24"/>
          <w:vertAlign w:val="superscript"/>
          <w:lang w:val="en-US" w:eastAsia="en-SB"/>
        </w:rPr>
        <w:t>st</w:t>
      </w:r>
      <w:r w:rsidR="00B1108C">
        <w:rPr>
          <w:rFonts w:ascii="Times New Roman" w:eastAsia="Times New Roman" w:hAnsi="Times New Roman" w:cs="Times New Roman"/>
          <w:sz w:val="24"/>
          <w:szCs w:val="24"/>
          <w:lang w:val="en-US" w:eastAsia="en-SB"/>
        </w:rPr>
        <w:t xml:space="preserve"> January 2024 if the notification is made by no later than </w:t>
      </w:r>
      <w:r w:rsidR="00EF4ABA" w:rsidRPr="00EF4ABA">
        <w:rPr>
          <w:rFonts w:ascii="Times New Roman" w:eastAsia="Times New Roman" w:hAnsi="Times New Roman" w:cs="Times New Roman"/>
          <w:b/>
          <w:sz w:val="24"/>
          <w:szCs w:val="24"/>
          <w:lang w:val="en-US" w:eastAsia="en-SB"/>
        </w:rPr>
        <w:t>Wednesday 5 of July 2023</w:t>
      </w:r>
      <w:r w:rsidR="00EF4ABA">
        <w:rPr>
          <w:rFonts w:ascii="Times New Roman" w:eastAsia="Times New Roman" w:hAnsi="Times New Roman" w:cs="Times New Roman"/>
          <w:sz w:val="24"/>
          <w:szCs w:val="24"/>
          <w:lang w:val="en-US" w:eastAsia="en-SB"/>
        </w:rPr>
        <w:t>.</w:t>
      </w:r>
      <w:r w:rsidR="00B1108C">
        <w:rPr>
          <w:rFonts w:ascii="Times New Roman" w:eastAsia="Times New Roman" w:hAnsi="Times New Roman" w:cs="Times New Roman"/>
          <w:sz w:val="24"/>
          <w:szCs w:val="24"/>
          <w:lang w:val="en-US" w:eastAsia="en-SB"/>
        </w:rPr>
        <w:t xml:space="preserve"> </w:t>
      </w:r>
    </w:p>
    <w:p w:rsidR="00EF4ABA" w:rsidRPr="008866C9" w:rsidRDefault="00EF4ABA" w:rsidP="008866C9">
      <w:pPr>
        <w:spacing w:after="240" w:line="240" w:lineRule="auto"/>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 xml:space="preserve">The PIPs also considered the changes to the </w:t>
      </w:r>
      <w:proofErr w:type="spellStart"/>
      <w:r>
        <w:rPr>
          <w:rFonts w:ascii="Times New Roman" w:eastAsia="Times New Roman" w:hAnsi="Times New Roman" w:cs="Times New Roman"/>
          <w:sz w:val="24"/>
          <w:szCs w:val="24"/>
          <w:lang w:val="en-US" w:eastAsia="en-SB"/>
        </w:rPr>
        <w:t>Harmonised</w:t>
      </w:r>
      <w:proofErr w:type="spellEnd"/>
      <w:r>
        <w:rPr>
          <w:rFonts w:ascii="Times New Roman" w:eastAsia="Times New Roman" w:hAnsi="Times New Roman" w:cs="Times New Roman"/>
          <w:sz w:val="24"/>
          <w:szCs w:val="24"/>
          <w:lang w:val="en-US" w:eastAsia="en-SB"/>
        </w:rPr>
        <w:t xml:space="preserve"> Minimum Terms and Conditions (HMTCs) that have been recently adopted by FFC but have yet to be incorporated in the RTCs, and agreed to further consider these internally before they can be formally notified to the US. </w:t>
      </w:r>
    </w:p>
    <w:p w:rsidR="008866C9" w:rsidRPr="008866C9" w:rsidRDefault="008866C9" w:rsidP="008866C9">
      <w:pPr>
        <w:spacing w:after="0" w:line="240" w:lineRule="auto"/>
        <w:rPr>
          <w:rFonts w:ascii="Times New Roman" w:eastAsia="Times New Roman" w:hAnsi="Times New Roman" w:cs="Times New Roman"/>
          <w:sz w:val="24"/>
          <w:szCs w:val="24"/>
          <w:lang w:eastAsia="en-SB"/>
        </w:rPr>
      </w:pPr>
      <w:r w:rsidRPr="008866C9">
        <w:rPr>
          <w:rFonts w:ascii="Arial" w:eastAsia="Times New Roman" w:hAnsi="Arial" w:cs="Arial"/>
          <w:b/>
          <w:bCs/>
          <w:color w:val="000000"/>
          <w:lang w:eastAsia="en-SB"/>
        </w:rPr>
        <w:t>Broader Cooperation</w:t>
      </w:r>
    </w:p>
    <w:p w:rsidR="008866C9" w:rsidRDefault="008866C9" w:rsidP="008866C9">
      <w:pPr>
        <w:spacing w:after="240" w:line="240" w:lineRule="auto"/>
        <w:rPr>
          <w:rFonts w:ascii="Times New Roman" w:eastAsia="Times New Roman" w:hAnsi="Times New Roman" w:cs="Times New Roman"/>
          <w:sz w:val="24"/>
          <w:szCs w:val="24"/>
          <w:lang w:eastAsia="en-SB"/>
        </w:rPr>
      </w:pPr>
    </w:p>
    <w:p w:rsidR="00F43AEC" w:rsidRDefault="00F43AEC" w:rsidP="008866C9">
      <w:pPr>
        <w:spacing w:after="240" w:line="240" w:lineRule="auto"/>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 xml:space="preserve">The Parties considered a proposed broader cooperation framework by the US which acknowledges the closer cooperation in fisheries under the Treaty for over three decades since the Treaty first started in 1987.  The framework is provided in a draft MOU on shared priorities for the Pacific Blue Continent as outlined in the Pacific Island Forum 2050 Strategy and </w:t>
      </w:r>
      <w:r w:rsidRPr="00F43AEC">
        <w:rPr>
          <w:rFonts w:ascii="Times New Roman" w:eastAsia="Times New Roman" w:hAnsi="Times New Roman" w:cs="Times New Roman"/>
          <w:sz w:val="24"/>
          <w:szCs w:val="24"/>
          <w:lang w:val="en-US" w:eastAsia="en-SB"/>
        </w:rPr>
        <w:t>Blue Pacific Continent</w:t>
      </w:r>
      <w:r>
        <w:rPr>
          <w:rFonts w:ascii="Times New Roman" w:eastAsia="Times New Roman" w:hAnsi="Times New Roman" w:cs="Times New Roman"/>
          <w:sz w:val="24"/>
          <w:szCs w:val="24"/>
          <w:lang w:val="en-US" w:eastAsia="en-SB"/>
        </w:rPr>
        <w:t xml:space="preserve">, </w:t>
      </w:r>
      <w:r w:rsidRPr="00F43AEC">
        <w:rPr>
          <w:rFonts w:ascii="Times New Roman" w:eastAsia="Times New Roman" w:hAnsi="Times New Roman" w:cs="Times New Roman"/>
          <w:sz w:val="24"/>
          <w:szCs w:val="24"/>
          <w:lang w:val="en-US" w:eastAsia="en-SB"/>
        </w:rPr>
        <w:t>as well as the Pacific Partnership Strategy of the United States.</w:t>
      </w:r>
    </w:p>
    <w:p w:rsidR="00220553" w:rsidRDefault="00220553" w:rsidP="008866C9">
      <w:pPr>
        <w:spacing w:after="240" w:line="240" w:lineRule="auto"/>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 xml:space="preserve">The draft framework provides for five major objectives: </w:t>
      </w:r>
    </w:p>
    <w:p w:rsidR="00220553" w:rsidRDefault="00220553" w:rsidP="00220553">
      <w:pPr>
        <w:pStyle w:val="ListParagraph"/>
        <w:numPr>
          <w:ilvl w:val="0"/>
          <w:numId w:val="7"/>
        </w:numPr>
        <w:spacing w:after="240" w:line="240" w:lineRule="auto"/>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 xml:space="preserve">Continuation of the </w:t>
      </w:r>
      <w:r w:rsidRPr="00220553">
        <w:rPr>
          <w:rFonts w:ascii="Times New Roman" w:eastAsia="Times New Roman" w:hAnsi="Times New Roman" w:cs="Times New Roman"/>
          <w:sz w:val="24"/>
          <w:szCs w:val="24"/>
          <w:lang w:val="en-US" w:eastAsia="en-SB"/>
        </w:rPr>
        <w:t>collaborative approach to economic development in the Pacific Islands region</w:t>
      </w:r>
      <w:r>
        <w:rPr>
          <w:rFonts w:ascii="Times New Roman" w:eastAsia="Times New Roman" w:hAnsi="Times New Roman" w:cs="Times New Roman"/>
          <w:sz w:val="24"/>
          <w:szCs w:val="24"/>
          <w:lang w:val="en-US" w:eastAsia="en-SB"/>
        </w:rPr>
        <w:t xml:space="preserve"> through </w:t>
      </w:r>
      <w:r w:rsidRPr="00220553">
        <w:rPr>
          <w:rFonts w:ascii="Times New Roman" w:eastAsia="Times New Roman" w:hAnsi="Times New Roman" w:cs="Times New Roman"/>
          <w:sz w:val="24"/>
          <w:szCs w:val="24"/>
          <w:lang w:val="en-US" w:eastAsia="en-SB"/>
        </w:rPr>
        <w:t xml:space="preserve">the </w:t>
      </w:r>
      <w:r>
        <w:rPr>
          <w:rFonts w:ascii="Times New Roman" w:eastAsia="Times New Roman" w:hAnsi="Times New Roman" w:cs="Times New Roman"/>
          <w:sz w:val="24"/>
          <w:szCs w:val="24"/>
          <w:lang w:val="en-US" w:eastAsia="en-SB"/>
        </w:rPr>
        <w:t>new EAA;</w:t>
      </w:r>
    </w:p>
    <w:p w:rsidR="00220553" w:rsidRPr="00220553" w:rsidRDefault="00220553" w:rsidP="00220553">
      <w:pPr>
        <w:pStyle w:val="ListParagraph"/>
        <w:numPr>
          <w:ilvl w:val="0"/>
          <w:numId w:val="7"/>
        </w:numPr>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 xml:space="preserve">The funds under the EAA </w:t>
      </w:r>
      <w:r w:rsidRPr="00220553">
        <w:rPr>
          <w:rFonts w:ascii="Times New Roman" w:eastAsia="Times New Roman" w:hAnsi="Times New Roman" w:cs="Times New Roman"/>
          <w:sz w:val="24"/>
          <w:szCs w:val="24"/>
          <w:lang w:val="en-US" w:eastAsia="en-SB"/>
        </w:rPr>
        <w:t xml:space="preserve">are </w:t>
      </w:r>
      <w:r>
        <w:rPr>
          <w:rFonts w:ascii="Times New Roman" w:eastAsia="Times New Roman" w:hAnsi="Times New Roman" w:cs="Times New Roman"/>
          <w:sz w:val="24"/>
          <w:szCs w:val="24"/>
          <w:lang w:val="en-US" w:eastAsia="en-SB"/>
        </w:rPr>
        <w:t xml:space="preserve">primarily to </w:t>
      </w:r>
      <w:r w:rsidRPr="00220553">
        <w:rPr>
          <w:rFonts w:ascii="Times New Roman" w:eastAsia="Times New Roman" w:hAnsi="Times New Roman" w:cs="Times New Roman"/>
          <w:sz w:val="24"/>
          <w:szCs w:val="24"/>
          <w:lang w:val="en-US" w:eastAsia="en-SB"/>
        </w:rPr>
        <w:t xml:space="preserve">support economic development related to sustainable fishing activities, fisheries management, increased economic returns from fisheries, and fisheries development projects in the Pacific Island region.  </w:t>
      </w:r>
    </w:p>
    <w:p w:rsidR="00220553" w:rsidRPr="00220553" w:rsidRDefault="00220553" w:rsidP="00220553">
      <w:pPr>
        <w:pStyle w:val="ListParagraph"/>
        <w:numPr>
          <w:ilvl w:val="0"/>
          <w:numId w:val="7"/>
        </w:numPr>
        <w:spacing w:after="240" w:line="240" w:lineRule="auto"/>
        <w:rPr>
          <w:rFonts w:ascii="Times New Roman" w:eastAsia="Times New Roman" w:hAnsi="Times New Roman" w:cs="Times New Roman"/>
          <w:sz w:val="24"/>
          <w:szCs w:val="24"/>
          <w:lang w:val="en-US" w:eastAsia="en-SB"/>
        </w:rPr>
      </w:pPr>
      <w:r w:rsidRPr="00220553">
        <w:rPr>
          <w:rFonts w:ascii="Times New Roman" w:eastAsia="Times New Roman" w:hAnsi="Times New Roman" w:cs="Times New Roman"/>
          <w:sz w:val="24"/>
          <w:szCs w:val="24"/>
          <w:lang w:val="en-US" w:eastAsia="en-SB"/>
        </w:rPr>
        <w:t>Beyond sustainable fisheries management, these funds are intended to also support economic development related to advancing climate change adaptation and improving resilience, including related to “blue foods,” tourism, and renewable energy and green shipping.</w:t>
      </w:r>
    </w:p>
    <w:p w:rsidR="00220553" w:rsidRPr="00220553" w:rsidRDefault="0056059F" w:rsidP="00220553">
      <w:pPr>
        <w:pStyle w:val="ListParagraph"/>
        <w:numPr>
          <w:ilvl w:val="0"/>
          <w:numId w:val="7"/>
        </w:numPr>
        <w:spacing w:after="240" w:line="240" w:lineRule="auto"/>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 xml:space="preserve">Need for annual meetings to </w:t>
      </w:r>
      <w:r w:rsidR="00220553" w:rsidRPr="00220553">
        <w:rPr>
          <w:rFonts w:ascii="Times New Roman" w:eastAsia="Times New Roman" w:hAnsi="Times New Roman" w:cs="Times New Roman"/>
          <w:sz w:val="24"/>
          <w:szCs w:val="24"/>
          <w:lang w:val="en-US" w:eastAsia="en-SB"/>
        </w:rPr>
        <w:t>discuss the implementation of funding provided under the E</w:t>
      </w:r>
      <w:r>
        <w:rPr>
          <w:rFonts w:ascii="Times New Roman" w:eastAsia="Times New Roman" w:hAnsi="Times New Roman" w:cs="Times New Roman"/>
          <w:sz w:val="24"/>
          <w:szCs w:val="24"/>
          <w:lang w:val="en-US" w:eastAsia="en-SB"/>
        </w:rPr>
        <w:t>AA</w:t>
      </w:r>
      <w:r w:rsidR="00220553" w:rsidRPr="00220553">
        <w:rPr>
          <w:rFonts w:ascii="Times New Roman" w:eastAsia="Times New Roman" w:hAnsi="Times New Roman" w:cs="Times New Roman"/>
          <w:sz w:val="24"/>
          <w:szCs w:val="24"/>
          <w:lang w:val="en-US" w:eastAsia="en-SB"/>
        </w:rPr>
        <w:t xml:space="preserve"> and its impacts on Pacific Islands economic development priorities, as well as to discuss areas of mutual interest where the parties can enhance cooperation.</w:t>
      </w:r>
    </w:p>
    <w:p w:rsidR="00220553" w:rsidRPr="0056059F" w:rsidRDefault="0056059F" w:rsidP="00DF1898">
      <w:pPr>
        <w:pStyle w:val="ListParagraph"/>
        <w:numPr>
          <w:ilvl w:val="0"/>
          <w:numId w:val="7"/>
        </w:numPr>
        <w:spacing w:after="240" w:line="240" w:lineRule="auto"/>
        <w:rPr>
          <w:rFonts w:ascii="Times New Roman" w:eastAsia="Times New Roman" w:hAnsi="Times New Roman" w:cs="Times New Roman"/>
          <w:sz w:val="24"/>
          <w:szCs w:val="24"/>
          <w:lang w:val="en-US" w:eastAsia="en-SB"/>
        </w:rPr>
      </w:pPr>
      <w:r w:rsidRPr="0056059F">
        <w:rPr>
          <w:rFonts w:ascii="Times New Roman" w:eastAsia="Times New Roman" w:hAnsi="Times New Roman" w:cs="Times New Roman"/>
          <w:sz w:val="24"/>
          <w:szCs w:val="24"/>
          <w:lang w:val="en-US" w:eastAsia="en-SB"/>
        </w:rPr>
        <w:t xml:space="preserve">Areas of </w:t>
      </w:r>
      <w:r w:rsidR="00220553" w:rsidRPr="0056059F">
        <w:rPr>
          <w:rFonts w:ascii="Times New Roman" w:eastAsia="Times New Roman" w:hAnsi="Times New Roman" w:cs="Times New Roman"/>
          <w:sz w:val="24"/>
          <w:szCs w:val="24"/>
          <w:lang w:val="en-US" w:eastAsia="en-SB"/>
        </w:rPr>
        <w:t xml:space="preserve">mutual cooperation </w:t>
      </w:r>
      <w:r w:rsidRPr="0056059F">
        <w:rPr>
          <w:rFonts w:ascii="Times New Roman" w:eastAsia="Times New Roman" w:hAnsi="Times New Roman" w:cs="Times New Roman"/>
          <w:sz w:val="24"/>
          <w:szCs w:val="24"/>
          <w:lang w:val="en-US" w:eastAsia="en-SB"/>
        </w:rPr>
        <w:t>may include</w:t>
      </w:r>
      <w:r w:rsidR="00220553" w:rsidRPr="0056059F">
        <w:rPr>
          <w:rFonts w:ascii="Times New Roman" w:eastAsia="Times New Roman" w:hAnsi="Times New Roman" w:cs="Times New Roman"/>
          <w:sz w:val="24"/>
          <w:szCs w:val="24"/>
          <w:lang w:val="en-US" w:eastAsia="en-SB"/>
        </w:rPr>
        <w:t>:</w:t>
      </w:r>
      <w:r w:rsidRPr="0056059F">
        <w:rPr>
          <w:rFonts w:ascii="Times New Roman" w:eastAsia="Times New Roman" w:hAnsi="Times New Roman" w:cs="Times New Roman"/>
          <w:sz w:val="24"/>
          <w:szCs w:val="24"/>
          <w:lang w:val="en-US" w:eastAsia="en-SB"/>
        </w:rPr>
        <w:t xml:space="preserve"> c</w:t>
      </w:r>
      <w:r w:rsidR="00220553" w:rsidRPr="0056059F">
        <w:rPr>
          <w:rFonts w:ascii="Times New Roman" w:eastAsia="Times New Roman" w:hAnsi="Times New Roman" w:cs="Times New Roman"/>
          <w:sz w:val="24"/>
          <w:szCs w:val="24"/>
          <w:lang w:val="en-US" w:eastAsia="en-SB"/>
        </w:rPr>
        <w:t>limate resilience including blue foods</w:t>
      </w:r>
      <w:r w:rsidRPr="0056059F">
        <w:rPr>
          <w:rFonts w:ascii="Times New Roman" w:eastAsia="Times New Roman" w:hAnsi="Times New Roman" w:cs="Times New Roman"/>
          <w:sz w:val="24"/>
          <w:szCs w:val="24"/>
          <w:lang w:val="en-US" w:eastAsia="en-SB"/>
        </w:rPr>
        <w:t>, e</w:t>
      </w:r>
      <w:r w:rsidR="00220553" w:rsidRPr="0056059F">
        <w:rPr>
          <w:rFonts w:ascii="Times New Roman" w:eastAsia="Times New Roman" w:hAnsi="Times New Roman" w:cs="Times New Roman"/>
          <w:sz w:val="24"/>
          <w:szCs w:val="24"/>
          <w:lang w:val="en-US" w:eastAsia="en-SB"/>
        </w:rPr>
        <w:t>conomic cooperation</w:t>
      </w:r>
      <w:r w:rsidRPr="0056059F">
        <w:rPr>
          <w:rFonts w:ascii="Times New Roman" w:eastAsia="Times New Roman" w:hAnsi="Times New Roman" w:cs="Times New Roman"/>
          <w:sz w:val="24"/>
          <w:szCs w:val="24"/>
          <w:lang w:val="en-US" w:eastAsia="en-SB"/>
        </w:rPr>
        <w:t>, ma</w:t>
      </w:r>
      <w:r w:rsidR="00220553" w:rsidRPr="0056059F">
        <w:rPr>
          <w:rFonts w:ascii="Times New Roman" w:eastAsia="Times New Roman" w:hAnsi="Times New Roman" w:cs="Times New Roman"/>
          <w:sz w:val="24"/>
          <w:szCs w:val="24"/>
          <w:lang w:val="en-US" w:eastAsia="en-SB"/>
        </w:rPr>
        <w:t>ritime security</w:t>
      </w:r>
      <w:r w:rsidRPr="0056059F">
        <w:rPr>
          <w:rFonts w:ascii="Times New Roman" w:eastAsia="Times New Roman" w:hAnsi="Times New Roman" w:cs="Times New Roman"/>
          <w:sz w:val="24"/>
          <w:szCs w:val="24"/>
          <w:lang w:val="en-US" w:eastAsia="en-SB"/>
        </w:rPr>
        <w:t>, e</w:t>
      </w:r>
      <w:r w:rsidR="00220553" w:rsidRPr="0056059F">
        <w:rPr>
          <w:rFonts w:ascii="Times New Roman" w:eastAsia="Times New Roman" w:hAnsi="Times New Roman" w:cs="Times New Roman"/>
          <w:sz w:val="24"/>
          <w:szCs w:val="24"/>
          <w:lang w:val="en-US" w:eastAsia="en-SB"/>
        </w:rPr>
        <w:t>ducation, training, youth development, and exchange opportunities</w:t>
      </w:r>
      <w:r>
        <w:rPr>
          <w:rFonts w:ascii="Times New Roman" w:eastAsia="Times New Roman" w:hAnsi="Times New Roman" w:cs="Times New Roman"/>
          <w:sz w:val="24"/>
          <w:szCs w:val="24"/>
          <w:lang w:val="en-US" w:eastAsia="en-SB"/>
        </w:rPr>
        <w:t>.</w:t>
      </w:r>
    </w:p>
    <w:p w:rsidR="0056059F" w:rsidRDefault="0056059F" w:rsidP="0056059F">
      <w:pPr>
        <w:spacing w:after="240" w:line="240" w:lineRule="auto"/>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 xml:space="preserve">The Parties noted that this proposal is separate from the broader cooperation activities under Article 3 of the Treaty which are limited to supports that can be provided from the activities </w:t>
      </w:r>
      <w:r>
        <w:rPr>
          <w:rFonts w:ascii="Times New Roman" w:eastAsia="Times New Roman" w:hAnsi="Times New Roman" w:cs="Times New Roman"/>
          <w:sz w:val="24"/>
          <w:szCs w:val="24"/>
          <w:lang w:val="en-US" w:eastAsia="en-SB"/>
        </w:rPr>
        <w:lastRenderedPageBreak/>
        <w:t>of US vessels operating under the Treaty, as well support for training in fisheries related activities.</w:t>
      </w:r>
    </w:p>
    <w:p w:rsidR="00C97585" w:rsidRDefault="0056059F" w:rsidP="0056059F">
      <w:pPr>
        <w:spacing w:after="240" w:line="240" w:lineRule="auto"/>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 xml:space="preserve">The Parties agreed </w:t>
      </w:r>
      <w:r w:rsidR="00C97585">
        <w:rPr>
          <w:rFonts w:ascii="Times New Roman" w:eastAsia="Times New Roman" w:hAnsi="Times New Roman" w:cs="Times New Roman"/>
          <w:sz w:val="24"/>
          <w:szCs w:val="24"/>
          <w:lang w:val="en-US" w:eastAsia="en-SB"/>
        </w:rPr>
        <w:t xml:space="preserve">for the DTWG to review the draft MOU and make recommendations to the Parties for consideration.  </w:t>
      </w:r>
    </w:p>
    <w:p w:rsidR="00F43AEC" w:rsidRPr="0056059F" w:rsidRDefault="00C97585" w:rsidP="0056059F">
      <w:pPr>
        <w:spacing w:after="240" w:line="240" w:lineRule="auto"/>
        <w:rPr>
          <w:rFonts w:ascii="Times New Roman" w:eastAsia="Times New Roman" w:hAnsi="Times New Roman" w:cs="Times New Roman"/>
          <w:sz w:val="24"/>
          <w:szCs w:val="24"/>
          <w:lang w:val="en-US" w:eastAsia="en-SB"/>
        </w:rPr>
      </w:pPr>
      <w:r>
        <w:rPr>
          <w:rFonts w:ascii="Times New Roman" w:eastAsia="Times New Roman" w:hAnsi="Times New Roman" w:cs="Times New Roman"/>
          <w:sz w:val="24"/>
          <w:szCs w:val="24"/>
          <w:lang w:val="en-US" w:eastAsia="en-SB"/>
        </w:rPr>
        <w:t xml:space="preserve">The Parties </w:t>
      </w:r>
      <w:proofErr w:type="spellStart"/>
      <w:r>
        <w:rPr>
          <w:rFonts w:ascii="Times New Roman" w:eastAsia="Times New Roman" w:hAnsi="Times New Roman" w:cs="Times New Roman"/>
          <w:sz w:val="24"/>
          <w:szCs w:val="24"/>
          <w:lang w:val="en-US" w:eastAsia="en-SB"/>
        </w:rPr>
        <w:t>recognised</w:t>
      </w:r>
      <w:proofErr w:type="spellEnd"/>
      <w:r>
        <w:rPr>
          <w:rFonts w:ascii="Times New Roman" w:eastAsia="Times New Roman" w:hAnsi="Times New Roman" w:cs="Times New Roman"/>
          <w:sz w:val="24"/>
          <w:szCs w:val="24"/>
          <w:lang w:val="en-US" w:eastAsia="en-SB"/>
        </w:rPr>
        <w:t xml:space="preserve"> that whilst attempts to conclude the MOU on broader cooperation is desirable, especially before the start of the first period under the new EAA, discussion may continue into 2024 and beyond.</w:t>
      </w:r>
    </w:p>
    <w:p w:rsidR="008866C9" w:rsidRPr="008866C9" w:rsidRDefault="008866C9" w:rsidP="008866C9">
      <w:pPr>
        <w:spacing w:after="0" w:line="240" w:lineRule="auto"/>
        <w:rPr>
          <w:rFonts w:ascii="Times New Roman" w:eastAsia="Times New Roman" w:hAnsi="Times New Roman" w:cs="Times New Roman"/>
          <w:sz w:val="24"/>
          <w:szCs w:val="24"/>
          <w:lang w:eastAsia="en-SB"/>
        </w:rPr>
      </w:pPr>
      <w:r w:rsidRPr="008866C9">
        <w:rPr>
          <w:rFonts w:ascii="Arial" w:eastAsia="Times New Roman" w:hAnsi="Arial" w:cs="Arial"/>
          <w:b/>
          <w:bCs/>
          <w:color w:val="000000"/>
          <w:lang w:eastAsia="en-SB"/>
        </w:rPr>
        <w:t>Enhanced partnership </w:t>
      </w:r>
    </w:p>
    <w:p w:rsidR="00E91BEB" w:rsidRDefault="00E91BEB" w:rsidP="00ED269D">
      <w:pPr>
        <w:spacing w:before="240" w:after="240"/>
        <w:jc w:val="both"/>
        <w:rPr>
          <w:sz w:val="24"/>
          <w:szCs w:val="24"/>
          <w:lang w:val="en-US"/>
        </w:rPr>
      </w:pPr>
      <w:r>
        <w:rPr>
          <w:sz w:val="24"/>
          <w:szCs w:val="24"/>
          <w:lang w:val="en-US"/>
        </w:rPr>
        <w:t xml:space="preserve">The Parties </w:t>
      </w:r>
      <w:r w:rsidR="00ED269D">
        <w:rPr>
          <w:sz w:val="24"/>
          <w:szCs w:val="24"/>
          <w:lang w:val="en-US"/>
        </w:rPr>
        <w:t xml:space="preserve">were unable to pursue discussion on the US proposal for a Comprehensive Partnership Agreement (CPA) </w:t>
      </w:r>
      <w:r>
        <w:rPr>
          <w:sz w:val="24"/>
          <w:szCs w:val="24"/>
          <w:lang w:val="en-US"/>
        </w:rPr>
        <w:t xml:space="preserve">due to time constraints.  </w:t>
      </w:r>
    </w:p>
    <w:p w:rsidR="00ED269D" w:rsidRDefault="00E91BEB" w:rsidP="00ED269D">
      <w:pPr>
        <w:spacing w:before="240" w:after="240"/>
        <w:jc w:val="both"/>
        <w:rPr>
          <w:sz w:val="24"/>
          <w:szCs w:val="24"/>
        </w:rPr>
      </w:pPr>
      <w:r>
        <w:rPr>
          <w:sz w:val="24"/>
          <w:szCs w:val="24"/>
          <w:lang w:val="en-US"/>
        </w:rPr>
        <w:t xml:space="preserve">However, the PIPs, in their First Statement, conveyed their appreciation for </w:t>
      </w:r>
      <w:r w:rsidR="00ED269D">
        <w:rPr>
          <w:sz w:val="24"/>
          <w:szCs w:val="24"/>
        </w:rPr>
        <w:t xml:space="preserve">the proposal </w:t>
      </w:r>
      <w:r>
        <w:rPr>
          <w:sz w:val="24"/>
          <w:szCs w:val="24"/>
          <w:lang w:val="en-US"/>
        </w:rPr>
        <w:t xml:space="preserve">and the opportunity to </w:t>
      </w:r>
      <w:r w:rsidR="004814E1">
        <w:rPr>
          <w:sz w:val="24"/>
          <w:szCs w:val="24"/>
          <w:lang w:val="en-US"/>
        </w:rPr>
        <w:t xml:space="preserve">discuss the intended </w:t>
      </w:r>
      <w:r w:rsidR="00ED269D">
        <w:rPr>
          <w:sz w:val="24"/>
          <w:szCs w:val="24"/>
        </w:rPr>
        <w:t xml:space="preserve">scope </w:t>
      </w:r>
      <w:r w:rsidR="004814E1">
        <w:rPr>
          <w:sz w:val="24"/>
          <w:szCs w:val="24"/>
          <w:lang w:val="en-US"/>
        </w:rPr>
        <w:t>independent of the</w:t>
      </w:r>
      <w:r w:rsidR="00ED269D">
        <w:rPr>
          <w:sz w:val="24"/>
          <w:szCs w:val="24"/>
        </w:rPr>
        <w:t xml:space="preserve"> tuna purse seine fisheries</w:t>
      </w:r>
      <w:r w:rsidR="004814E1">
        <w:rPr>
          <w:sz w:val="24"/>
          <w:szCs w:val="24"/>
          <w:lang w:val="en-US"/>
        </w:rPr>
        <w:t xml:space="preserve">.  This will </w:t>
      </w:r>
      <w:r w:rsidR="00ED269D">
        <w:rPr>
          <w:sz w:val="24"/>
          <w:szCs w:val="24"/>
        </w:rPr>
        <w:t xml:space="preserve">further enhance </w:t>
      </w:r>
      <w:r w:rsidR="004814E1">
        <w:rPr>
          <w:sz w:val="24"/>
          <w:szCs w:val="24"/>
          <w:lang w:val="en-US"/>
        </w:rPr>
        <w:t xml:space="preserve">the existing </w:t>
      </w:r>
      <w:r w:rsidR="00ED269D">
        <w:rPr>
          <w:sz w:val="24"/>
          <w:szCs w:val="24"/>
        </w:rPr>
        <w:t>relationship</w:t>
      </w:r>
      <w:r w:rsidR="004814E1">
        <w:rPr>
          <w:sz w:val="24"/>
          <w:szCs w:val="24"/>
          <w:lang w:val="en-US"/>
        </w:rPr>
        <w:t xml:space="preserve"> that has developed over the years of implementation of the Treaty</w:t>
      </w:r>
      <w:r w:rsidR="00ED269D">
        <w:rPr>
          <w:sz w:val="24"/>
          <w:szCs w:val="24"/>
        </w:rPr>
        <w:t xml:space="preserve">. </w:t>
      </w:r>
    </w:p>
    <w:p w:rsidR="00ED269D" w:rsidRDefault="00F15801" w:rsidP="00ED269D">
      <w:pPr>
        <w:spacing w:before="240" w:after="240"/>
        <w:jc w:val="both"/>
        <w:rPr>
          <w:sz w:val="24"/>
          <w:szCs w:val="24"/>
          <w:lang w:val="en-US"/>
        </w:rPr>
      </w:pPr>
      <w:r>
        <w:rPr>
          <w:sz w:val="24"/>
          <w:szCs w:val="24"/>
          <w:lang w:val="en-US"/>
        </w:rPr>
        <w:t>Consideration of this proposal will be an ongoing task into 2024 and beyond</w:t>
      </w:r>
      <w:proofErr w:type="gramStart"/>
      <w:r>
        <w:rPr>
          <w:sz w:val="24"/>
          <w:szCs w:val="24"/>
          <w:lang w:val="en-US"/>
        </w:rPr>
        <w:t>.</w:t>
      </w:r>
      <w:r w:rsidR="00ED269D" w:rsidRPr="006B5C8C">
        <w:rPr>
          <w:sz w:val="24"/>
          <w:szCs w:val="24"/>
        </w:rPr>
        <w:t xml:space="preserve"> </w:t>
      </w:r>
      <w:r w:rsidR="00A175CD">
        <w:rPr>
          <w:sz w:val="24"/>
          <w:szCs w:val="24"/>
          <w:lang w:val="en-US"/>
        </w:rPr>
        <w:t>;</w:t>
      </w:r>
      <w:proofErr w:type="gramEnd"/>
    </w:p>
    <w:p w:rsidR="008866C9" w:rsidRPr="008866C9" w:rsidRDefault="008866C9" w:rsidP="008866C9">
      <w:pPr>
        <w:spacing w:after="0" w:line="240" w:lineRule="auto"/>
        <w:rPr>
          <w:rFonts w:ascii="Times New Roman" w:eastAsia="Times New Roman" w:hAnsi="Times New Roman" w:cs="Times New Roman"/>
          <w:sz w:val="24"/>
          <w:szCs w:val="24"/>
          <w:lang w:eastAsia="en-SB"/>
        </w:rPr>
      </w:pPr>
      <w:r w:rsidRPr="008866C9">
        <w:rPr>
          <w:rFonts w:ascii="Arial" w:eastAsia="Times New Roman" w:hAnsi="Arial" w:cs="Arial"/>
          <w:b/>
          <w:bCs/>
          <w:color w:val="000000"/>
          <w:lang w:eastAsia="en-SB"/>
        </w:rPr>
        <w:t>Drafting Group </w:t>
      </w:r>
    </w:p>
    <w:p w:rsidR="00A175CD" w:rsidRDefault="00630637" w:rsidP="00630637">
      <w:pPr>
        <w:spacing w:before="240" w:after="240" w:line="240" w:lineRule="auto"/>
        <w:rPr>
          <w:rFonts w:ascii="Times New Roman" w:hAnsi="Times New Roman" w:cs="Times New Roman"/>
          <w:sz w:val="24"/>
          <w:szCs w:val="24"/>
          <w:lang w:val="en-US"/>
        </w:rPr>
      </w:pPr>
      <w:r w:rsidRPr="00630637">
        <w:rPr>
          <w:rFonts w:ascii="Times New Roman" w:hAnsi="Times New Roman" w:cs="Times New Roman"/>
          <w:sz w:val="24"/>
          <w:szCs w:val="24"/>
          <w:lang w:val="en-US"/>
        </w:rPr>
        <w:t xml:space="preserve">The Parties agreed to </w:t>
      </w:r>
      <w:r>
        <w:rPr>
          <w:rFonts w:ascii="Times New Roman" w:hAnsi="Times New Roman" w:cs="Times New Roman"/>
          <w:sz w:val="24"/>
          <w:szCs w:val="24"/>
          <w:lang w:val="en-US"/>
        </w:rPr>
        <w:t xml:space="preserve">establish the DTWG to review the following </w:t>
      </w:r>
      <w:r w:rsidR="00A175CD">
        <w:rPr>
          <w:rFonts w:ascii="Times New Roman" w:hAnsi="Times New Roman" w:cs="Times New Roman"/>
          <w:sz w:val="24"/>
          <w:szCs w:val="24"/>
          <w:lang w:val="en-US"/>
        </w:rPr>
        <w:t>instruments:</w:t>
      </w:r>
    </w:p>
    <w:p w:rsidR="00A175CD" w:rsidRDefault="00630637" w:rsidP="00A175CD">
      <w:pPr>
        <w:pStyle w:val="ListParagraph"/>
        <w:numPr>
          <w:ilvl w:val="0"/>
          <w:numId w:val="8"/>
        </w:numPr>
        <w:spacing w:before="240" w:after="240" w:line="240" w:lineRule="auto"/>
        <w:rPr>
          <w:rFonts w:ascii="Times New Roman" w:hAnsi="Times New Roman" w:cs="Times New Roman"/>
          <w:sz w:val="24"/>
          <w:szCs w:val="24"/>
          <w:lang w:val="en-US"/>
        </w:rPr>
      </w:pPr>
      <w:r w:rsidRPr="00A175CD">
        <w:rPr>
          <w:rFonts w:ascii="Times New Roman" w:hAnsi="Times New Roman" w:cs="Times New Roman"/>
          <w:sz w:val="24"/>
          <w:szCs w:val="24"/>
          <w:lang w:val="en-US"/>
        </w:rPr>
        <w:t>draft Grant Agreement for the additional US$10m for 2023</w:t>
      </w:r>
      <w:r w:rsidR="00A175CD">
        <w:rPr>
          <w:rFonts w:ascii="Times New Roman" w:hAnsi="Times New Roman" w:cs="Times New Roman"/>
          <w:sz w:val="24"/>
          <w:szCs w:val="24"/>
          <w:lang w:val="en-US"/>
        </w:rPr>
        <w:t>;</w:t>
      </w:r>
    </w:p>
    <w:p w:rsidR="00A175CD" w:rsidRDefault="00630637" w:rsidP="00A175CD">
      <w:pPr>
        <w:pStyle w:val="ListParagraph"/>
        <w:numPr>
          <w:ilvl w:val="0"/>
          <w:numId w:val="8"/>
        </w:numPr>
        <w:spacing w:before="240" w:after="240" w:line="240" w:lineRule="auto"/>
        <w:rPr>
          <w:rFonts w:ascii="Times New Roman" w:hAnsi="Times New Roman" w:cs="Times New Roman"/>
          <w:sz w:val="24"/>
          <w:szCs w:val="24"/>
          <w:lang w:val="en-US"/>
        </w:rPr>
      </w:pPr>
      <w:r w:rsidRPr="00A175CD">
        <w:rPr>
          <w:rFonts w:ascii="Times New Roman" w:hAnsi="Times New Roman" w:cs="Times New Roman"/>
          <w:sz w:val="24"/>
          <w:szCs w:val="24"/>
          <w:lang w:val="en-US"/>
        </w:rPr>
        <w:t>agreed EAA for 2024 and beyond</w:t>
      </w:r>
      <w:r w:rsidR="00A175CD">
        <w:rPr>
          <w:rFonts w:ascii="Times New Roman" w:hAnsi="Times New Roman" w:cs="Times New Roman"/>
          <w:sz w:val="24"/>
          <w:szCs w:val="24"/>
          <w:lang w:val="en-US"/>
        </w:rPr>
        <w:t xml:space="preserve"> to prepare for signing;</w:t>
      </w:r>
    </w:p>
    <w:p w:rsidR="00A175CD" w:rsidRDefault="00A175CD" w:rsidP="00A175CD">
      <w:pPr>
        <w:pStyle w:val="ListParagraph"/>
        <w:numPr>
          <w:ilvl w:val="0"/>
          <w:numId w:val="8"/>
        </w:numPr>
        <w:spacing w:before="240" w:after="240" w:line="240" w:lineRule="auto"/>
        <w:rPr>
          <w:rFonts w:ascii="Times New Roman" w:hAnsi="Times New Roman" w:cs="Times New Roman"/>
          <w:sz w:val="24"/>
          <w:szCs w:val="24"/>
          <w:lang w:val="en-US"/>
        </w:rPr>
      </w:pPr>
      <w:r>
        <w:rPr>
          <w:rFonts w:ascii="Times New Roman" w:hAnsi="Times New Roman" w:cs="Times New Roman"/>
          <w:sz w:val="24"/>
          <w:szCs w:val="24"/>
          <w:lang w:val="en-US"/>
        </w:rPr>
        <w:t>revised Annex II;</w:t>
      </w:r>
    </w:p>
    <w:p w:rsidR="00A175CD" w:rsidRDefault="00A175CD" w:rsidP="00A175CD">
      <w:pPr>
        <w:pStyle w:val="ListParagraph"/>
        <w:numPr>
          <w:ilvl w:val="0"/>
          <w:numId w:val="8"/>
        </w:numPr>
        <w:spacing w:before="240" w:after="240" w:line="240" w:lineRule="auto"/>
        <w:rPr>
          <w:rFonts w:ascii="Times New Roman" w:hAnsi="Times New Roman" w:cs="Times New Roman"/>
          <w:sz w:val="24"/>
          <w:szCs w:val="24"/>
          <w:lang w:val="en-US"/>
        </w:rPr>
      </w:pPr>
      <w:r>
        <w:rPr>
          <w:rFonts w:ascii="Times New Roman" w:hAnsi="Times New Roman" w:cs="Times New Roman"/>
          <w:sz w:val="24"/>
          <w:szCs w:val="24"/>
          <w:lang w:val="en-US"/>
        </w:rPr>
        <w:t>revised RTCs;</w:t>
      </w:r>
    </w:p>
    <w:p w:rsidR="00A175CD" w:rsidRDefault="00A175CD" w:rsidP="00A175CD">
      <w:pPr>
        <w:pStyle w:val="ListParagraph"/>
        <w:numPr>
          <w:ilvl w:val="0"/>
          <w:numId w:val="8"/>
        </w:numPr>
        <w:spacing w:before="240" w:after="240" w:line="240" w:lineRule="auto"/>
        <w:rPr>
          <w:rFonts w:ascii="Times New Roman" w:hAnsi="Times New Roman" w:cs="Times New Roman"/>
          <w:sz w:val="24"/>
          <w:szCs w:val="24"/>
          <w:lang w:val="en-US"/>
        </w:rPr>
      </w:pPr>
      <w:r>
        <w:rPr>
          <w:rFonts w:ascii="Times New Roman" w:hAnsi="Times New Roman" w:cs="Times New Roman"/>
          <w:sz w:val="24"/>
          <w:szCs w:val="24"/>
          <w:lang w:val="en-US"/>
        </w:rPr>
        <w:t>draft MOU for broader cooperation;</w:t>
      </w:r>
    </w:p>
    <w:p w:rsidR="00A175CD" w:rsidRDefault="00A175CD" w:rsidP="00A175CD">
      <w:pPr>
        <w:pStyle w:val="ListParagraph"/>
        <w:numPr>
          <w:ilvl w:val="0"/>
          <w:numId w:val="8"/>
        </w:numPr>
        <w:spacing w:before="240" w:after="240" w:line="240" w:lineRule="auto"/>
        <w:rPr>
          <w:rFonts w:ascii="Times New Roman" w:hAnsi="Times New Roman" w:cs="Times New Roman"/>
          <w:sz w:val="24"/>
          <w:szCs w:val="24"/>
          <w:lang w:val="en-US"/>
        </w:rPr>
      </w:pPr>
      <w:r>
        <w:rPr>
          <w:rFonts w:ascii="Times New Roman" w:hAnsi="Times New Roman" w:cs="Times New Roman"/>
          <w:sz w:val="24"/>
          <w:szCs w:val="24"/>
          <w:lang w:val="en-US"/>
        </w:rPr>
        <w:t>draft framework for the CPA, after it has been shared by the US; and</w:t>
      </w:r>
    </w:p>
    <w:p w:rsidR="00A175CD" w:rsidRDefault="00A175CD" w:rsidP="00A175CD">
      <w:pPr>
        <w:pStyle w:val="ListParagraph"/>
        <w:numPr>
          <w:ilvl w:val="0"/>
          <w:numId w:val="8"/>
        </w:numPr>
        <w:spacing w:before="240" w:after="240" w:line="240" w:lineRule="auto"/>
        <w:rPr>
          <w:rFonts w:ascii="Times New Roman" w:hAnsi="Times New Roman" w:cs="Times New Roman"/>
          <w:sz w:val="24"/>
          <w:szCs w:val="24"/>
          <w:lang w:val="en-US"/>
        </w:rPr>
      </w:pPr>
      <w:r>
        <w:rPr>
          <w:rFonts w:ascii="Times New Roman" w:hAnsi="Times New Roman" w:cs="Times New Roman"/>
          <w:sz w:val="24"/>
          <w:szCs w:val="24"/>
          <w:lang w:val="en-US"/>
        </w:rPr>
        <w:t>any other drafting work that may be required in the ongoing renegotiation of the Treaty.</w:t>
      </w:r>
    </w:p>
    <w:p w:rsidR="00A175CD" w:rsidRDefault="00A175CD" w:rsidP="00A175CD">
      <w:pPr>
        <w:spacing w:before="240" w:after="24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Parties agreed to the terms of reference for the DTWG, provided as </w:t>
      </w:r>
      <w:r w:rsidRPr="00A175CD">
        <w:rPr>
          <w:rFonts w:ascii="Times New Roman" w:hAnsi="Times New Roman" w:cs="Times New Roman"/>
          <w:b/>
          <w:sz w:val="24"/>
          <w:szCs w:val="24"/>
          <w:lang w:val="en-US"/>
        </w:rPr>
        <w:t>Attachment F</w:t>
      </w:r>
      <w:r>
        <w:rPr>
          <w:rFonts w:ascii="Times New Roman" w:hAnsi="Times New Roman" w:cs="Times New Roman"/>
          <w:sz w:val="24"/>
          <w:szCs w:val="24"/>
          <w:lang w:val="en-US"/>
        </w:rPr>
        <w:t>.</w:t>
      </w:r>
    </w:p>
    <w:p w:rsidR="00A175CD" w:rsidRDefault="00A175CD" w:rsidP="00A175CD">
      <w:pPr>
        <w:spacing w:before="240" w:after="240" w:line="240" w:lineRule="auto"/>
        <w:rPr>
          <w:rFonts w:ascii="Times New Roman" w:hAnsi="Times New Roman" w:cs="Times New Roman"/>
          <w:sz w:val="24"/>
          <w:szCs w:val="24"/>
          <w:lang w:val="en-US"/>
        </w:rPr>
      </w:pPr>
      <w:r>
        <w:rPr>
          <w:rFonts w:ascii="Times New Roman" w:hAnsi="Times New Roman" w:cs="Times New Roman"/>
          <w:sz w:val="24"/>
          <w:szCs w:val="24"/>
          <w:lang w:val="en-US"/>
        </w:rPr>
        <w:t>The DTWG will meet virtually as soon as possible to consider the priority tasks (items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 (v)</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before </w:t>
      </w:r>
      <w:proofErr w:type="spellStart"/>
      <w:r>
        <w:rPr>
          <w:rFonts w:ascii="Times New Roman" w:hAnsi="Times New Roman" w:cs="Times New Roman"/>
          <w:sz w:val="24"/>
          <w:szCs w:val="24"/>
          <w:lang w:val="en-US"/>
        </w:rPr>
        <w:t>mid June</w:t>
      </w:r>
      <w:proofErr w:type="spellEnd"/>
      <w:r>
        <w:rPr>
          <w:rFonts w:ascii="Times New Roman" w:hAnsi="Times New Roman" w:cs="Times New Roman"/>
          <w:sz w:val="24"/>
          <w:szCs w:val="24"/>
          <w:lang w:val="en-US"/>
        </w:rPr>
        <w:t xml:space="preserve"> 2023.</w:t>
      </w:r>
    </w:p>
    <w:sectPr w:rsidR="00A175CD" w:rsidSect="00ED269D">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D25"/>
    <w:multiLevelType w:val="hybridMultilevel"/>
    <w:tmpl w:val="174AC042"/>
    <w:lvl w:ilvl="0" w:tplc="3FDAF164">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3B90B35"/>
    <w:multiLevelType w:val="hybridMultilevel"/>
    <w:tmpl w:val="0F1ABF4A"/>
    <w:lvl w:ilvl="0" w:tplc="B65ED4B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4651ACB"/>
    <w:multiLevelType w:val="hybridMultilevel"/>
    <w:tmpl w:val="DB8889EA"/>
    <w:lvl w:ilvl="0" w:tplc="20000017">
      <w:start w:val="1"/>
      <w:numFmt w:val="lowerLetter"/>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1D95067A"/>
    <w:multiLevelType w:val="hybridMultilevel"/>
    <w:tmpl w:val="20862EAE"/>
    <w:lvl w:ilvl="0" w:tplc="296C7BD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5DDC1CC5"/>
    <w:multiLevelType w:val="hybridMultilevel"/>
    <w:tmpl w:val="0A942AAE"/>
    <w:lvl w:ilvl="0" w:tplc="EA9E503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5DF6781D"/>
    <w:multiLevelType w:val="hybridMultilevel"/>
    <w:tmpl w:val="C84EFAC8"/>
    <w:lvl w:ilvl="0" w:tplc="6C86B7F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5ED56BCB"/>
    <w:multiLevelType w:val="hybridMultilevel"/>
    <w:tmpl w:val="12080C42"/>
    <w:lvl w:ilvl="0" w:tplc="8224FF56">
      <w:start w:val="1"/>
      <w:numFmt w:val="lowerLetter"/>
      <w:lvlText w:val="%1)"/>
      <w:lvlJc w:val="left"/>
      <w:pPr>
        <w:ind w:left="720" w:hanging="360"/>
      </w:pPr>
      <w:rPr>
        <w:rFonts w:hint="default"/>
        <w:b/>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3190804"/>
    <w:multiLevelType w:val="hybridMultilevel"/>
    <w:tmpl w:val="FEF45E2C"/>
    <w:lvl w:ilvl="0" w:tplc="E8A6E940">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6"/>
  </w:num>
  <w:num w:numId="2">
    <w:abstractNumId w:val="7"/>
  </w:num>
  <w:num w:numId="3">
    <w:abstractNumId w:val="5"/>
  </w:num>
  <w:num w:numId="4">
    <w:abstractNumId w:val="2"/>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C9"/>
    <w:rsid w:val="0008096D"/>
    <w:rsid w:val="000A5270"/>
    <w:rsid w:val="000F1D57"/>
    <w:rsid w:val="001B281F"/>
    <w:rsid w:val="00220553"/>
    <w:rsid w:val="00235DC8"/>
    <w:rsid w:val="0026116E"/>
    <w:rsid w:val="002B4780"/>
    <w:rsid w:val="003D1DA8"/>
    <w:rsid w:val="00451428"/>
    <w:rsid w:val="00455668"/>
    <w:rsid w:val="004814E1"/>
    <w:rsid w:val="00483DEF"/>
    <w:rsid w:val="004F49B3"/>
    <w:rsid w:val="0056059F"/>
    <w:rsid w:val="005C1BEC"/>
    <w:rsid w:val="00630637"/>
    <w:rsid w:val="006D5389"/>
    <w:rsid w:val="007C1BCC"/>
    <w:rsid w:val="007E5DEF"/>
    <w:rsid w:val="00811A1D"/>
    <w:rsid w:val="00827A27"/>
    <w:rsid w:val="008332A6"/>
    <w:rsid w:val="00855696"/>
    <w:rsid w:val="008866C9"/>
    <w:rsid w:val="008D7242"/>
    <w:rsid w:val="009104C9"/>
    <w:rsid w:val="00971C2B"/>
    <w:rsid w:val="00993625"/>
    <w:rsid w:val="00A175CD"/>
    <w:rsid w:val="00B1108C"/>
    <w:rsid w:val="00B2160B"/>
    <w:rsid w:val="00B552DF"/>
    <w:rsid w:val="00B7014E"/>
    <w:rsid w:val="00C97585"/>
    <w:rsid w:val="00CB058F"/>
    <w:rsid w:val="00D669DA"/>
    <w:rsid w:val="00E705D9"/>
    <w:rsid w:val="00E91BEB"/>
    <w:rsid w:val="00EB0E4A"/>
    <w:rsid w:val="00ED269D"/>
    <w:rsid w:val="00ED5BBC"/>
    <w:rsid w:val="00EE2F8D"/>
    <w:rsid w:val="00EF4ABA"/>
    <w:rsid w:val="00F15801"/>
    <w:rsid w:val="00F43AEC"/>
  </w:rsids>
  <m:mathPr>
    <m:mathFont m:val="Cambria Math"/>
    <m:brkBin m:val="before"/>
    <m:brkBinSub m:val="--"/>
    <m:smallFrac m:val="0"/>
    <m:dispDef/>
    <m:lMargin m:val="0"/>
    <m:rMargin m:val="0"/>
    <m:defJc m:val="centerGroup"/>
    <m:wrapIndent m:val="1440"/>
    <m:intLim m:val="subSup"/>
    <m:naryLim m:val="undOvr"/>
  </m:mathPr>
  <w:themeFontLang w:val="en-S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3DE4"/>
  <w15:chartTrackingRefBased/>
  <w15:docId w15:val="{67999D9E-ABBA-403D-B8F0-EC6F04F7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6C9"/>
    <w:pPr>
      <w:ind w:left="720"/>
      <w:contextualSpacing/>
    </w:pPr>
  </w:style>
  <w:style w:type="table" w:styleId="TableGrid">
    <w:name w:val="Table Grid"/>
    <w:basedOn w:val="TableNormal"/>
    <w:uiPriority w:val="39"/>
    <w:rsid w:val="004F4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614185">
      <w:bodyDiv w:val="1"/>
      <w:marLeft w:val="0"/>
      <w:marRight w:val="0"/>
      <w:marTop w:val="0"/>
      <w:marBottom w:val="0"/>
      <w:divBdr>
        <w:top w:val="none" w:sz="0" w:space="0" w:color="auto"/>
        <w:left w:val="none" w:sz="0" w:space="0" w:color="auto"/>
        <w:bottom w:val="none" w:sz="0" w:space="0" w:color="auto"/>
        <w:right w:val="none" w:sz="0" w:space="0" w:color="auto"/>
      </w:divBdr>
    </w:div>
    <w:div w:id="103815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1940</TotalTime>
  <Pages>4</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Kaburoro Ruaia</dc:creator>
  <cp:keywords/>
  <dc:description/>
  <cp:lastModifiedBy>Kaburoro Ruaia</cp:lastModifiedBy>
  <cp:revision>7</cp:revision>
  <dcterms:created xsi:type="dcterms:W3CDTF">2023-05-04T03:46:00Z</dcterms:created>
  <dcterms:modified xsi:type="dcterms:W3CDTF">2023-05-05T19:32:00Z</dcterms:modified>
</cp:coreProperties>
</file>