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f4761" w:space="10" w:sz="4" w:val="single"/>
          <w:left w:space="0" w:sz="0" w:val="nil"/>
          <w:bottom w:color="0f4761" w:space="10" w:sz="4" w:val="single"/>
          <w:right w:space="0" w:sz="0" w:val="nil"/>
          <w:between w:space="0" w:sz="0" w:val="nil"/>
        </w:pBdr>
        <w:spacing w:after="360" w:before="360" w:lineRule="auto"/>
        <w:ind w:left="864" w:right="864" w:firstLine="0"/>
        <w:jc w:val="center"/>
        <w:rPr>
          <w:i w:val="1"/>
          <w:iCs w:val="1"/>
          <w:color w:val="0f4761"/>
        </w:rPr>
      </w:pPr>
      <w:r w:rsidDel="00000000" w:rsidR="00000000" w:rsidRPr="00000000">
        <w:rPr>
          <w:i w:val="1"/>
          <w:iCs w:val="1"/>
          <w:color w:val="0f4761"/>
          <w:rtl w:val="0"/>
        </w:rPr>
        <w:t xml:space="preserve">Bigeye Tuna Management Procedure</w:t>
      </w:r>
      <w:r w:rsidDel="00000000" w:rsidR="00000000" w:rsidRPr="00000000">
        <w:rPr>
          <w:i w:val="1"/>
          <w:iCs w:val="1"/>
          <w:color w:val="0f4761"/>
          <w:rtl w:val="0"/>
        </w:rPr>
        <w:t xml:space="preserve"> Workshop Handout</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Group Exercise</w:t>
      </w:r>
      <w:r w:rsidDel="00000000" w:rsidR="00000000" w:rsidRPr="00000000">
        <w:rPr>
          <w:b w:val="1"/>
          <w:bCs w:val="1"/>
          <w:rtl w:val="0"/>
        </w:rPr>
        <w:t xml:space="preserve">: </w:t>
      </w:r>
      <w:r w:rsidDel="00000000" w:rsidR="00000000" w:rsidRPr="00000000">
        <w:rPr>
          <w:rtl w:val="0"/>
        </w:rPr>
        <w:t xml:space="preserve">Discussion on key issues and options in the development of Bigeye Tuna Management Procedure</w:t>
      </w:r>
      <w:r w:rsidDel="00000000" w:rsidR="00000000" w:rsidRPr="00000000">
        <w:rPr>
          <w:rtl w:val="0"/>
        </w:rPr>
      </w:r>
    </w:p>
    <w:tbl>
      <w:tblPr>
        <w:tblStyle w:val="Table1"/>
        <w:tblW w:w="9016.0" w:type="dxa"/>
        <w:jc w:val="left"/>
        <w:tblLayout w:type="fixed"/>
        <w:tblLook w:val="04A0"/>
      </w:tblPr>
      <w:tblGrid>
        <w:gridCol w:w="9016"/>
        <w:tblGridChange w:id="0">
          <w:tblGrid>
            <w:gridCol w:w="9016"/>
          </w:tblGrid>
        </w:tblGridChange>
      </w:tblGrid>
      <w:tr>
        <w:trPr>
          <w:cantSplit w:val="0"/>
          <w:tblHeader w:val="0"/>
        </w:trPr>
        <w:tc>
          <w:tcPr>
            <w:shd w:fill="c1e4f5" w:val="clear"/>
          </w:tcPr>
          <w:p w:rsidR="00000000" w:rsidDel="00000000" w:rsidP="00000000" w:rsidRDefault="00000000" w:rsidRPr="00000000" w14:paraId="00000003">
            <w:pPr>
              <w:spacing w:after="160" w:line="278.00000000000006" w:lineRule="auto"/>
              <w:jc w:val="both"/>
              <w:rPr/>
            </w:pPr>
            <w:r w:rsidDel="00000000" w:rsidR="00000000" w:rsidRPr="00000000">
              <w:rPr>
                <w:rtl w:val="0"/>
              </w:rPr>
              <w:t xml:space="preserve">Purpose of the exercise</w:t>
            </w:r>
          </w:p>
          <w:p w:rsidR="00000000" w:rsidDel="00000000" w:rsidP="00000000" w:rsidRDefault="00000000" w:rsidRPr="00000000" w14:paraId="00000004">
            <w:pPr>
              <w:spacing w:after="240" w:before="240" w:line="278.00000000000006" w:lineRule="auto"/>
              <w:jc w:val="both"/>
              <w:rPr>
                <w:highlight w:val="yellow"/>
              </w:rPr>
            </w:pPr>
            <w:r w:rsidDel="00000000" w:rsidR="00000000" w:rsidRPr="00000000">
              <w:rPr>
                <w:b w:val="0"/>
                <w:bCs w:val="0"/>
                <w:rtl w:val="0"/>
              </w:rPr>
              <w:t xml:space="preserve">To discuss two key issues and options identified in </w:t>
            </w:r>
            <w:r w:rsidDel="00000000" w:rsidR="00000000" w:rsidRPr="00000000">
              <w:rPr>
                <w:rtl w:val="0"/>
              </w:rPr>
              <w:t xml:space="preserve">FFC142-WP16</w:t>
            </w:r>
            <w:r w:rsidDel="00000000" w:rsidR="00000000" w:rsidRPr="00000000">
              <w:rPr>
                <w:b w:val="0"/>
                <w:bCs w:val="0"/>
                <w:rtl w:val="0"/>
              </w:rPr>
              <w:t xml:space="preserve"> in relation to the development of a Management Procedure for bigeye tuna (BET MP). This exercise provides Members with an opportunity to consider the options outlined in the paper, identify any preferred alternatives, possible compromise approaches, and any red lines.</w:t>
            </w:r>
            <w:r w:rsidDel="00000000" w:rsidR="00000000" w:rsidRPr="00000000">
              <w:rPr>
                <w:rtl w:val="0"/>
              </w:rPr>
            </w:r>
          </w:p>
        </w:tc>
      </w:tr>
    </w:tbl>
    <w:p w:rsidR="00000000" w:rsidDel="00000000" w:rsidP="00000000" w:rsidRDefault="00000000" w:rsidRPr="00000000" w14:paraId="00000005">
      <w:pPr>
        <w:spacing w:after="0" w:lineRule="auto"/>
        <w:rPr>
          <w:rFonts w:ascii="Roboto" w:cs="Roboto" w:eastAsia="Roboto" w:hAnsi="Roboto"/>
          <w:i w:val="1"/>
          <w:iCs w:val="1"/>
          <w:color w:val="0f1115"/>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153d63"/>
          <w:rtl w:val="0"/>
        </w:rPr>
        <w:t xml:space="preserve">Treatment of FAD Closures</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Question 1: </w:t>
      </w:r>
      <w:r w:rsidDel="00000000" w:rsidR="00000000" w:rsidRPr="00000000">
        <w:rPr>
          <w:rtl w:val="0"/>
        </w:rPr>
        <w:t xml:space="preserve">Which approach or a combination of approaches, should FFA Members support for the treatment of FAD closures in the BET MP?</w:t>
      </w:r>
    </w:p>
    <w:p w:rsidR="00000000" w:rsidDel="00000000" w:rsidP="00000000" w:rsidRDefault="00000000" w:rsidRPr="00000000" w14:paraId="00000008">
      <w:pPr>
        <w:numPr>
          <w:ilvl w:val="0"/>
          <w:numId w:val="2"/>
        </w:numPr>
        <w:spacing w:after="0" w:lineRule="auto"/>
        <w:ind w:left="720" w:hanging="360"/>
        <w:jc w:val="both"/>
        <w:rPr>
          <w:b w:val="1"/>
          <w:bCs w:val="1"/>
        </w:rPr>
      </w:pPr>
      <w:r w:rsidDel="00000000" w:rsidR="00000000" w:rsidRPr="00000000">
        <w:rPr>
          <w:b w:val="1"/>
          <w:bCs w:val="1"/>
          <w:rtl w:val="0"/>
        </w:rPr>
        <w:t xml:space="preserve">Test different closure lengths through evaluations</w:t>
      </w:r>
    </w:p>
    <w:p w:rsidR="00000000" w:rsidDel="00000000" w:rsidP="00000000" w:rsidRDefault="00000000" w:rsidRPr="00000000" w14:paraId="00000009">
      <w:pPr>
        <w:spacing w:after="0" w:lineRule="auto"/>
        <w:ind w:left="360" w:firstLine="0"/>
        <w:jc w:val="both"/>
        <w:rPr>
          <w:b w:val="1"/>
          <w:bCs w:val="1"/>
        </w:rPr>
      </w:pPr>
      <w:r w:rsidDel="00000000" w:rsidR="00000000" w:rsidRPr="00000000">
        <w:rPr>
          <w:rtl w:val="0"/>
        </w:rPr>
        <w:t xml:space="preserve">Evaluate different closure settings (e.g. no closure, current closure, and longer closures) to assess their effects on bigeye tuna outcomes and purse seine operations. This aligns with WCPFC22 guidance to test closure lengths from 0 to 3 months.</w:t>
      </w:r>
      <w:r w:rsidDel="00000000" w:rsidR="00000000" w:rsidRPr="00000000">
        <w:rPr>
          <w:rtl w:val="0"/>
        </w:rPr>
      </w:r>
    </w:p>
    <w:p w:rsidR="00000000" w:rsidDel="00000000" w:rsidP="00000000" w:rsidRDefault="00000000" w:rsidRPr="00000000" w14:paraId="0000000A">
      <w:pPr>
        <w:numPr>
          <w:ilvl w:val="0"/>
          <w:numId w:val="2"/>
        </w:numPr>
        <w:spacing w:after="0" w:before="200" w:lineRule="auto"/>
        <w:ind w:left="720" w:hanging="360"/>
        <w:jc w:val="both"/>
        <w:rPr>
          <w:b w:val="1"/>
          <w:bCs w:val="1"/>
        </w:rPr>
      </w:pPr>
      <w:r w:rsidDel="00000000" w:rsidR="00000000" w:rsidRPr="00000000">
        <w:rPr>
          <w:b w:val="1"/>
          <w:bCs w:val="1"/>
          <w:rtl w:val="0"/>
        </w:rPr>
        <w:t xml:space="preserve">Treat FAD closure as an implementation tool outside the MP design </w:t>
      </w:r>
    </w:p>
    <w:p w:rsidR="00000000" w:rsidDel="00000000" w:rsidP="00000000" w:rsidRDefault="00000000" w:rsidRPr="00000000" w14:paraId="0000000B">
      <w:pPr>
        <w:spacing w:after="0" w:lineRule="auto"/>
        <w:ind w:left="360" w:firstLine="0"/>
        <w:jc w:val="both"/>
        <w:rPr>
          <w:b w:val="1"/>
          <w:bCs w:val="1"/>
        </w:rPr>
      </w:pPr>
      <w:r w:rsidDel="00000000" w:rsidR="00000000" w:rsidRPr="00000000">
        <w:rPr>
          <w:rtl w:val="0"/>
        </w:rPr>
        <w:t xml:space="preserve">The MP would set the required stock outcome, while Members would later decide how to achieve it (e.g. through FAD closures, longline measures, or a combination). This approach provides flexibility but is more difficult to model and assess in advance.</w:t>
      </w:r>
      <w:r w:rsidDel="00000000" w:rsidR="00000000" w:rsidRPr="00000000">
        <w:rPr>
          <w:rtl w:val="0"/>
        </w:rPr>
      </w:r>
    </w:p>
    <w:p w:rsidR="00000000" w:rsidDel="00000000" w:rsidP="00000000" w:rsidRDefault="00000000" w:rsidRPr="00000000" w14:paraId="0000000C">
      <w:pPr>
        <w:numPr>
          <w:ilvl w:val="0"/>
          <w:numId w:val="2"/>
        </w:numPr>
        <w:spacing w:after="0" w:before="200" w:lineRule="auto"/>
        <w:ind w:left="720" w:hanging="360"/>
        <w:jc w:val="both"/>
        <w:rPr>
          <w:b w:val="1"/>
          <w:bCs w:val="1"/>
        </w:rPr>
      </w:pPr>
      <w:r w:rsidDel="00000000" w:rsidR="00000000" w:rsidRPr="00000000">
        <w:rPr>
          <w:b w:val="1"/>
          <w:bCs w:val="1"/>
          <w:rtl w:val="0"/>
        </w:rPr>
        <w:t xml:space="preserve">Use a integrated approach (FAD closures and longline controls)</w:t>
      </w:r>
    </w:p>
    <w:p w:rsidR="00000000" w:rsidDel="00000000" w:rsidP="00000000" w:rsidRDefault="00000000" w:rsidRPr="00000000" w14:paraId="0000000D">
      <w:pPr>
        <w:ind w:left="360" w:firstLine="0"/>
        <w:rPr/>
      </w:pPr>
      <w:r w:rsidDel="00000000" w:rsidR="00000000" w:rsidRPr="00000000">
        <w:rPr>
          <w:rtl w:val="0"/>
        </w:rPr>
        <w:t xml:space="preserve">Assume no fixed FAD closure in the baseline, and evaluate a range of management combinations where FAD closure length and longline controls are jointly adjusted to achieve the same target stock level. This allows comparison of different control mixes in terms of effectiveness and practicality. </w:t>
      </w:r>
    </w:p>
    <w:p w:rsidR="00000000" w:rsidDel="00000000" w:rsidP="00000000" w:rsidRDefault="00000000" w:rsidRPr="00000000" w14:paraId="0000000E">
      <w:pPr>
        <w:numPr>
          <w:ilvl w:val="0"/>
          <w:numId w:val="2"/>
        </w:numPr>
        <w:spacing w:before="200" w:lineRule="auto"/>
        <w:ind w:left="720" w:hanging="360"/>
        <w:jc w:val="both"/>
        <w:rPr>
          <w:b w:val="1"/>
          <w:bCs w:val="1"/>
        </w:rPr>
      </w:pPr>
      <w:r w:rsidDel="00000000" w:rsidR="00000000" w:rsidRPr="00000000">
        <w:rPr>
          <w:b w:val="1"/>
          <w:bCs w:val="1"/>
          <w:rtl w:val="0"/>
        </w:rPr>
        <w:t xml:space="preserve">Other alternatives/ preferences not included above.</w:t>
      </w:r>
    </w:p>
    <w:p w:rsidR="00000000" w:rsidDel="00000000" w:rsidP="00000000" w:rsidRDefault="00000000" w:rsidRPr="00000000" w14:paraId="0000000F">
      <w:pPr>
        <w:rPr/>
      </w:pPr>
      <w:r w:rsidDel="00000000" w:rsidR="00000000" w:rsidRPr="00000000">
        <w:rPr>
          <w:b w:val="1"/>
          <w:bCs w:val="1"/>
          <w:rtl w:val="0"/>
        </w:rPr>
        <w:t xml:space="preserve">Question 2: </w:t>
      </w:r>
      <w:r w:rsidDel="00000000" w:rsidR="00000000" w:rsidRPr="00000000">
        <w:rPr>
          <w:rtl w:val="0"/>
        </w:rPr>
        <w:t xml:space="preserve">What minimum safeguards should apply for FFA Members? For example, limits on FAD closure reliance, protection of EEZ fishing opportunities, or constraints on disproportionate burdens?</w:t>
      </w:r>
    </w:p>
    <w:p w:rsidR="00000000" w:rsidDel="00000000" w:rsidP="00000000" w:rsidRDefault="00000000" w:rsidRPr="00000000" w14:paraId="00000010">
      <w:pPr>
        <w:rPr>
          <w:highlight w:val="red"/>
        </w:rPr>
      </w:pPr>
      <w:r w:rsidDel="00000000" w:rsidR="00000000" w:rsidRPr="00000000">
        <w:rPr>
          <w:b w:val="1"/>
          <w:bCs w:val="1"/>
          <w:rtl w:val="0"/>
        </w:rPr>
        <w:t xml:space="preserve">Question 3: </w:t>
      </w:r>
      <w:r w:rsidDel="00000000" w:rsidR="00000000" w:rsidRPr="00000000">
        <w:rPr>
          <w:rtl w:val="0"/>
        </w:rPr>
        <w:t xml:space="preserve">What outcomes would be unacceptable? For example, excessive reliance on FAD closures, disproportionate burdens on EEZ PS fisheries, or loss of management balance between gear types?</w:t>
      </w: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color w:val="153d63"/>
          <w:rtl w:val="0"/>
        </w:rPr>
        <w:t xml:space="preserve">Treatment of SIDS Exemptions</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Question 1: </w:t>
      </w:r>
      <w:r w:rsidDel="00000000" w:rsidR="00000000" w:rsidRPr="00000000">
        <w:rPr>
          <w:rtl w:val="0"/>
        </w:rPr>
        <w:t xml:space="preserve">What position should FFA Members support regarding SIDS treatment under a BET MP?</w:t>
      </w:r>
    </w:p>
    <w:p w:rsidR="00000000" w:rsidDel="00000000" w:rsidP="00000000" w:rsidRDefault="00000000" w:rsidRPr="00000000" w14:paraId="00000013">
      <w:pPr>
        <w:numPr>
          <w:ilvl w:val="0"/>
          <w:numId w:val="1"/>
        </w:numPr>
        <w:spacing w:after="0" w:lineRule="auto"/>
        <w:ind w:left="720" w:hanging="360"/>
        <w:jc w:val="both"/>
        <w:rPr>
          <w:b w:val="1"/>
          <w:bCs w:val="1"/>
        </w:rPr>
      </w:pPr>
      <w:r w:rsidDel="00000000" w:rsidR="00000000" w:rsidRPr="00000000">
        <w:rPr>
          <w:b w:val="1"/>
          <w:bCs w:val="1"/>
          <w:rtl w:val="0"/>
        </w:rPr>
        <w:t xml:space="preserve">Maintain current exemptions outside MP outputs and address it at the implementation stage </w:t>
      </w:r>
    </w:p>
    <w:p w:rsidR="00000000" w:rsidDel="00000000" w:rsidP="00000000" w:rsidRDefault="00000000" w:rsidRPr="00000000" w14:paraId="00000014">
      <w:pPr>
        <w:ind w:left="360" w:firstLine="0"/>
        <w:jc w:val="both"/>
        <w:rPr/>
      </w:pPr>
      <w:r w:rsidDel="00000000" w:rsidR="00000000" w:rsidRPr="00000000">
        <w:rPr>
          <w:rtl w:val="0"/>
        </w:rPr>
        <w:t xml:space="preserve">Under this approach, the MP would determine the level of management response needed for the stock, while the Commission would later decide how that response is applied in a way that maintains current SIDS treatment.</w:t>
      </w:r>
    </w:p>
    <w:p w:rsidR="00000000" w:rsidDel="00000000" w:rsidP="00000000" w:rsidRDefault="00000000" w:rsidRPr="00000000" w14:paraId="00000015">
      <w:pPr>
        <w:numPr>
          <w:ilvl w:val="0"/>
          <w:numId w:val="1"/>
        </w:numPr>
        <w:spacing w:after="0" w:before="200" w:lineRule="auto"/>
        <w:ind w:left="720" w:hanging="360"/>
        <w:jc w:val="both"/>
        <w:rPr/>
      </w:pPr>
      <w:r w:rsidDel="00000000" w:rsidR="00000000" w:rsidRPr="00000000">
        <w:rPr>
          <w:b w:val="1"/>
          <w:bCs w:val="1"/>
          <w:rtl w:val="0"/>
        </w:rPr>
        <w:t xml:space="preserve">Recognise SIDS catches in modelling but preserve exemption in implementation</w:t>
      </w:r>
      <w:r w:rsidDel="00000000" w:rsidR="00000000" w:rsidRPr="00000000">
        <w:rPr>
          <w:rtl w:val="0"/>
        </w:rPr>
      </w:r>
    </w:p>
    <w:p w:rsidR="00000000" w:rsidDel="00000000" w:rsidP="00000000" w:rsidRDefault="00000000" w:rsidRPr="00000000" w14:paraId="00000016">
      <w:pPr>
        <w:spacing w:after="0" w:lineRule="auto"/>
        <w:ind w:left="360" w:firstLine="0"/>
        <w:jc w:val="both"/>
        <w:rPr/>
      </w:pPr>
      <w:r w:rsidDel="00000000" w:rsidR="00000000" w:rsidRPr="00000000">
        <w:rPr>
          <w:rtl w:val="0"/>
        </w:rPr>
        <w:t xml:space="preserve">Design the MP so that SIDS catches are not included within the direct application of any catch-based MP output, but are instead treated as an assumed component outside the main control rule. Under this approach, SIDS catches would still be recognised in the modelling as part of the overall stock impact, but they would not be directly adjusted by the MP output. This may help preserve the current exemption, although Members would also need to consider whether this would place more of the management adjustment on the fisheries that remain within the scope of the MP.</w:t>
      </w:r>
    </w:p>
    <w:p w:rsidR="00000000" w:rsidDel="00000000" w:rsidP="00000000" w:rsidRDefault="00000000" w:rsidRPr="00000000" w14:paraId="00000017">
      <w:pPr>
        <w:numPr>
          <w:ilvl w:val="0"/>
          <w:numId w:val="1"/>
        </w:numPr>
        <w:spacing w:after="0" w:before="200" w:lineRule="auto"/>
        <w:ind w:left="720" w:hanging="360"/>
        <w:jc w:val="both"/>
        <w:rPr>
          <w:b w:val="1"/>
          <w:bCs w:val="1"/>
        </w:rPr>
      </w:pPr>
      <w:r w:rsidDel="00000000" w:rsidR="00000000" w:rsidRPr="00000000">
        <w:rPr>
          <w:b w:val="1"/>
          <w:bCs w:val="1"/>
          <w:rtl w:val="0"/>
        </w:rPr>
        <w:t xml:space="preserve">Apply minimum floors for SIDS catches</w:t>
      </w:r>
    </w:p>
    <w:p w:rsidR="00000000" w:rsidDel="00000000" w:rsidP="00000000" w:rsidRDefault="00000000" w:rsidRPr="00000000" w14:paraId="00000018">
      <w:pPr>
        <w:spacing w:after="0" w:lineRule="auto"/>
        <w:ind w:left="360" w:firstLine="0"/>
        <w:jc w:val="both"/>
        <w:rPr/>
      </w:pPr>
      <w:r w:rsidDel="00000000" w:rsidR="00000000" w:rsidRPr="00000000">
        <w:rPr>
          <w:rtl w:val="0"/>
        </w:rPr>
        <w:t xml:space="preserve">Treat SIDS catches as being subject to a minimum floor below which they cannot be reduced. Under this approach, the MP could still allow SIDS catches to increase or decrease in response to stock conditions.</w:t>
      </w:r>
    </w:p>
    <w:p w:rsidR="00000000" w:rsidDel="00000000" w:rsidP="00000000" w:rsidRDefault="00000000" w:rsidRPr="00000000" w14:paraId="00000019">
      <w:pPr>
        <w:numPr>
          <w:ilvl w:val="0"/>
          <w:numId w:val="1"/>
        </w:numPr>
        <w:spacing w:after="0" w:before="200" w:lineRule="auto"/>
        <w:ind w:left="720" w:hanging="360"/>
        <w:rPr>
          <w:b w:val="1"/>
          <w:bCs w:val="1"/>
        </w:rPr>
      </w:pPr>
      <w:r w:rsidDel="00000000" w:rsidR="00000000" w:rsidRPr="00000000">
        <w:rPr>
          <w:b w:val="1"/>
          <w:bCs w:val="1"/>
          <w:rtl w:val="0"/>
        </w:rPr>
        <w:t xml:space="preserve">Include SIDS fully within MP outputs</w:t>
      </w:r>
    </w:p>
    <w:p w:rsidR="00000000" w:rsidDel="00000000" w:rsidP="00000000" w:rsidRDefault="00000000" w:rsidRPr="00000000" w14:paraId="0000001A">
      <w:pPr>
        <w:spacing w:after="0" w:lineRule="auto"/>
        <w:ind w:left="360" w:firstLine="0"/>
        <w:rPr/>
      </w:pPr>
      <w:r w:rsidDel="00000000" w:rsidR="00000000" w:rsidRPr="00000000">
        <w:rPr>
          <w:rtl w:val="0"/>
        </w:rPr>
        <w:t xml:space="preserve">Apply MP outputs equally across all Members, including SIDS.</w:t>
      </w:r>
    </w:p>
    <w:p w:rsidR="00000000" w:rsidDel="00000000" w:rsidP="00000000" w:rsidRDefault="00000000" w:rsidRPr="00000000" w14:paraId="0000001B">
      <w:pPr>
        <w:numPr>
          <w:ilvl w:val="0"/>
          <w:numId w:val="1"/>
        </w:numPr>
        <w:spacing w:before="200" w:lineRule="auto"/>
        <w:ind w:left="720" w:hanging="360"/>
        <w:rPr>
          <w:b w:val="1"/>
          <w:bCs w:val="1"/>
        </w:rPr>
      </w:pPr>
      <w:r w:rsidDel="00000000" w:rsidR="00000000" w:rsidRPr="00000000">
        <w:rPr>
          <w:b w:val="1"/>
          <w:bCs w:val="1"/>
          <w:rtl w:val="0"/>
        </w:rPr>
        <w:t xml:space="preserve">Other alternatives/ preferences not included above.</w:t>
      </w:r>
    </w:p>
    <w:p w:rsidR="00000000" w:rsidDel="00000000" w:rsidP="00000000" w:rsidRDefault="00000000" w:rsidRPr="00000000" w14:paraId="0000001C">
      <w:pPr>
        <w:jc w:val="both"/>
        <w:rPr/>
      </w:pPr>
      <w:r w:rsidDel="00000000" w:rsidR="00000000" w:rsidRPr="00000000">
        <w:rPr>
          <w:b w:val="1"/>
          <w:bCs w:val="1"/>
          <w:rtl w:val="0"/>
        </w:rPr>
        <w:t xml:space="preserve">Question 2:</w:t>
      </w:r>
      <w:r w:rsidDel="00000000" w:rsidR="00000000" w:rsidRPr="00000000">
        <w:rPr>
          <w:rtl w:val="0"/>
        </w:rPr>
        <w:t xml:space="preserve"> What aspects of current SIDS treatment do Members believe must be preserved? For example, recognition of special requirements of SIDS, protection of development aspirations, avoidance of inappropriate flag-based controls, retention of implementation flexibility, fair distribution of adjustment burdens, administrative practicality, EEZ-based interests and revenues and other priorities not listed above.</w:t>
      </w:r>
    </w:p>
    <w:p w:rsidR="00000000" w:rsidDel="00000000" w:rsidP="00000000" w:rsidRDefault="00000000" w:rsidRPr="00000000" w14:paraId="0000001D">
      <w:pPr>
        <w:jc w:val="both"/>
        <w:rPr>
          <w:highlight w:val="red"/>
        </w:rPr>
      </w:pPr>
      <w:r w:rsidDel="00000000" w:rsidR="00000000" w:rsidRPr="00000000">
        <w:rPr>
          <w:b w:val="1"/>
          <w:bCs w:val="1"/>
          <w:rtl w:val="0"/>
        </w:rPr>
        <w:t xml:space="preserve">Question 3:</w:t>
      </w:r>
      <w:r w:rsidDel="00000000" w:rsidR="00000000" w:rsidRPr="00000000">
        <w:rPr>
          <w:rtl w:val="0"/>
        </w:rPr>
        <w:t xml:space="preserve"> What are FFA Members’ red lines on this issue? For example, removal of existing SIDS protections without replacement, mandatory catch reductions applied equally regardless of capacity or development status, constraints on future fisheries development, disproportionate burden on SIDS Members, loss of EEZ revenues or economic opportunities, overly complex implementation requirements, precedent weakening wider SIDS treatment in WCPFC measures or Other unacceptable outcomes not listed above.</w:t>
      </w:r>
      <w:r w:rsidDel="00000000" w:rsidR="00000000" w:rsidRPr="00000000">
        <w:rPr>
          <w:rtl w:val="0"/>
        </w:rPr>
      </w:r>
    </w:p>
    <w:p w:rsidR="00000000" w:rsidDel="00000000" w:rsidP="00000000" w:rsidRDefault="00000000" w:rsidRPr="00000000" w14:paraId="0000001E">
      <w:pPr>
        <w:spacing w:before="240" w:lineRule="auto"/>
        <w:rPr>
          <w:b w:val="1"/>
          <w:bCs w:val="1"/>
        </w:rPr>
      </w:pPr>
      <w:r w:rsidDel="00000000" w:rsidR="00000000" w:rsidRPr="00000000">
        <w:rPr>
          <w:b w:val="1"/>
          <w:bCs w:val="1"/>
          <w:rtl w:val="0"/>
        </w:rPr>
        <w:t xml:space="preserve">Facilitation Format </w:t>
      </w:r>
    </w:p>
    <w:p w:rsidR="00000000" w:rsidDel="00000000" w:rsidP="00000000" w:rsidRDefault="00000000" w:rsidRPr="00000000" w14:paraId="0000001F">
      <w:pPr>
        <w:numPr>
          <w:ilvl w:val="0"/>
          <w:numId w:val="3"/>
        </w:numPr>
        <w:ind w:left="720" w:hanging="360"/>
        <w:rPr/>
      </w:pPr>
      <w:r w:rsidDel="00000000" w:rsidR="00000000" w:rsidRPr="00000000">
        <w:rPr>
          <w:b w:val="1"/>
          <w:bCs w:val="1"/>
          <w:rtl w:val="0"/>
        </w:rPr>
        <w:t xml:space="preserve">25 mins</w:t>
      </w:r>
      <w:r w:rsidDel="00000000" w:rsidR="00000000" w:rsidRPr="00000000">
        <w:rPr>
          <w:rtl w:val="0"/>
        </w:rPr>
        <w:t xml:space="preserve"> Group discussion </w:t>
      </w:r>
    </w:p>
    <w:p w:rsidR="00000000" w:rsidDel="00000000" w:rsidP="00000000" w:rsidRDefault="00000000" w:rsidRPr="00000000" w14:paraId="00000020">
      <w:pPr>
        <w:numPr>
          <w:ilvl w:val="0"/>
          <w:numId w:val="3"/>
        </w:numPr>
        <w:ind w:left="720" w:hanging="360"/>
        <w:rPr/>
      </w:pPr>
      <w:r w:rsidDel="00000000" w:rsidR="00000000" w:rsidRPr="00000000">
        <w:rPr>
          <w:b w:val="1"/>
          <w:bCs w:val="1"/>
          <w:rtl w:val="0"/>
        </w:rPr>
        <w:t xml:space="preserve">5 mins each group</w:t>
      </w:r>
      <w:r w:rsidDel="00000000" w:rsidR="00000000" w:rsidRPr="00000000">
        <w:rPr>
          <w:rtl w:val="0"/>
        </w:rPr>
        <w:t xml:space="preserve"> report back (3 groups = 15 mins)</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709"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513"/>
        <w:tab w:val="right" w:leader="none" w:pos="9026"/>
      </w:tabs>
      <w:spacing w:before="200" w:lineRule="auto"/>
      <w:jc w:val="both"/>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drawing>
        <wp:inline distB="114300" distT="114300" distL="114300" distR="114300">
          <wp:extent cx="747713" cy="5400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7713" cy="54001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513"/>
        <w:tab w:val="right" w:leader="none" w:pos="9026"/>
      </w:tabs>
      <w:spacing w:after="0" w:line="240" w:lineRule="auto"/>
      <w:jc w:val="center"/>
      <w:rPr>
        <w:color w:val="000000"/>
      </w:rPr>
    </w:pPr>
    <w:r w:rsidDel="00000000" w:rsidR="00000000" w:rsidRPr="00000000">
      <w:rPr/>
      <w:drawing>
        <wp:inline distB="114300" distT="114300" distL="114300" distR="114300">
          <wp:extent cx="747713" cy="54001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7713" cy="5400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5Sep1blT7q6UiEbgEFGqPPjeA==">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